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asonry-construction-services-llp"/>
    <w:p>
      <w:pPr>
        <w:pStyle w:val="Heading1"/>
      </w:pPr>
      <w:r>
        <w:t xml:space="preserve">Almaty Masonry &amp; Construction Services LLP</w:t>
      </w:r>
    </w:p>
    <w:p>
      <w:pPr>
        <w:pStyle w:val="FirstParagraph"/>
      </w:pPr>
      <w:r>
        <w:t xml:space="preserve">145 Abai Avenue, Almaty, 050040, Kazakhstan | Tel: +7 (727) 312-4567 | Email: info@almatymasonry.kz</w:t>
      </w:r>
    </w:p>
    <w:p>
      <w:pPr>
        <w:pStyle w:val="BodyText"/>
      </w:pPr>
      <w:r>
        <w:t xml:space="preserve">Registration No. 2019456789012 | VAT ID: 990945678901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QTE-2025-ALM-0047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Client Name:</w:t>
            </w:r>
          </w:p>
        </w:tc>
        <w:tc>
          <w:tcPr/>
          <w:p>
            <w:pPr>
              <w:pStyle w:val="Compact"/>
              <w:jc w:val="left"/>
            </w:pPr>
            <w:r>
              <w:t xml:space="preserve">Tengri Residential Development Group</w:t>
            </w:r>
          </w:p>
        </w:tc>
        <w:tc>
          <w:tcPr/>
          <w:p>
            <w:pPr>
              <w:pStyle w:val="Compact"/>
              <w:jc w:val="left"/>
            </w:pPr>
            <w:r>
              <w:t xml:space="preserve">Client Address:</w:t>
            </w:r>
          </w:p>
        </w:tc>
        <w:tc>
          <w:tcPr/>
          <w:p>
            <w:pPr>
              <w:pStyle w:val="Compact"/>
              <w:jc w:val="left"/>
            </w:pPr>
            <w:r>
              <w:t xml:space="preserve">88 Dostyk Avenue, Almaty, Kazakhstan</w:t>
            </w:r>
          </w:p>
        </w:tc>
      </w:tr>
      <w:tr>
        <w:tc>
          <w:tcPr/>
          <w:p>
            <w:pPr>
              <w:pStyle w:val="Compact"/>
              <w:jc w:val="left"/>
            </w:pPr>
            <w:r>
              <w:t xml:space="preserve">Project Location:</w:t>
            </w:r>
          </w:p>
        </w:tc>
        <w:tc>
          <w:tcPr/>
          <w:p>
            <w:pPr>
              <w:pStyle w:val="Compact"/>
              <w:jc w:val="left"/>
            </w:pPr>
            <w:r>
              <w:t xml:space="preserve">Makhtaarata District, Almaty, Kazakhstan</w:t>
            </w:r>
          </w:p>
        </w:tc>
        <w:tc>
          <w:tcPr/>
          <w:p>
            <w:pPr>
              <w:pStyle w:val="Compact"/>
              <w:jc w:val="left"/>
            </w:pPr>
            <w:r>
              <w:t xml:space="preserve">Project Type:</w:t>
            </w:r>
          </w:p>
        </w:tc>
        <w:tc>
          <w:tcPr/>
          <w:p>
            <w:pPr>
              <w:pStyle w:val="Compact"/>
              <w:jc w:val="left"/>
            </w:pPr>
            <w:r>
              <w:t xml:space="preserve">Residential Masonry Construction</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prepared by Almaty Masonry &amp; Construction Services LLP in response to the formal request submitted by Tengri Residential Development Group for comprehensive masonry works at their residential development site in the Makhtaarata District of</w:t>
      </w:r>
      <w:r>
        <w:t xml:space="preserve"> </w:t>
      </w:r>
      <w:r>
        <w:t xml:space="preserve">Kazakhstan Almaty</w:t>
      </w:r>
      <w:r>
        <w:t xml:space="preserve">. This document outlines the full scope of</w:t>
      </w:r>
      <w:r>
        <w:t xml:space="preserve"> </w:t>
      </w:r>
      <w:r>
        <w:t xml:space="preserve">Mason</w:t>
      </w:r>
      <w:r>
        <w:t xml:space="preserve"> </w:t>
      </w:r>
      <w:r>
        <w:t xml:space="preserve">services, material costs, labor charges, and associated project terms that will govern the execution of the masonry construction phase.</w:t>
      </w:r>
    </w:p>
    <w:p>
      <w:pPr>
        <w:pStyle w:val="BodyText"/>
      </w:pPr>
      <w:r>
        <w:t xml:space="preserve">The</w:t>
      </w:r>
      <w:r>
        <w:t xml:space="preserve"> </w:t>
      </w:r>
      <w:r>
        <w:t xml:space="preserve">Mason</w:t>
      </w:r>
      <w:r>
        <w:t xml:space="preserve"> </w:t>
      </w:r>
      <w:r>
        <w:t xml:space="preserve">works encompassed in this</w:t>
      </w:r>
      <w:r>
        <w:t xml:space="preserve"> </w:t>
      </w:r>
      <w:r>
        <w:t xml:space="preserve">Quotation Estimate</w:t>
      </w:r>
      <w:r>
        <w:t xml:space="preserve"> </w:t>
      </w:r>
      <w:r>
        <w:t xml:space="preserve">include the laying of load-bearing and non-load-bearing brick walls, construction of concrete block partitions, installation of lintels and ring beams, application of mortar joints in accordance with Kazakhstani building codes (SNiP standards applicable in</w:t>
      </w:r>
      <w:r>
        <w:t xml:space="preserve"> </w:t>
      </w:r>
      <w:r>
        <w:t xml:space="preserve">Kazakhstan Almaty</w:t>
      </w:r>
      <w:r>
        <w:t xml:space="preserve">), and the preparation of masonry surfaces for subsequent plastering and finishing. All</w:t>
      </w:r>
      <w:r>
        <w:t xml:space="preserve"> </w:t>
      </w:r>
      <w:r>
        <w:t xml:space="preserve">Mason</w:t>
      </w:r>
      <w:r>
        <w:t xml:space="preserve"> </w:t>
      </w:r>
      <w:r>
        <w:t xml:space="preserve">work will be performed by certified masonry professionals who are fully familiar with the seismic construction requirements mandated for the Almaty region, given its classification as a high-seismicity zone.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Laying of solid clay brick walls (load-bearing), 380mm thickness, including mortar preparation and joint finishing</w:t>
            </w:r>
          </w:p>
        </w:tc>
        <w:tc>
          <w:tcPr/>
          <w:p>
            <w:pPr>
              <w:pStyle w:val="Compact"/>
              <w:jc w:val="left"/>
            </w:pPr>
            <w:r>
              <w:t xml:space="preserve">1,250</w:t>
            </w:r>
          </w:p>
        </w:tc>
        <w:tc>
          <w:tcPr/>
          <w:p>
            <w:pPr>
              <w:pStyle w:val="Compact"/>
              <w:jc w:val="left"/>
            </w:pPr>
            <w:r>
              <w:t xml:space="preserve">m³</w:t>
            </w:r>
          </w:p>
        </w:tc>
        <w:tc>
          <w:tcPr/>
          <w:p>
            <w:pPr>
              <w:pStyle w:val="Compact"/>
              <w:jc w:val="left"/>
            </w:pPr>
            <w:r>
              <w:t xml:space="preserve">185,000</w:t>
            </w:r>
          </w:p>
        </w:tc>
        <w:tc>
          <w:tcPr/>
          <w:p>
            <w:pPr>
              <w:pStyle w:val="Compact"/>
              <w:jc w:val="left"/>
            </w:pPr>
            <w:r>
              <w:t xml:space="preserve">231,250,000</w:t>
            </w:r>
          </w:p>
        </w:tc>
      </w:tr>
      <w:tr>
        <w:tc>
          <w:tcPr/>
          <w:p>
            <w:pPr>
              <w:pStyle w:val="Compact"/>
              <w:jc w:val="left"/>
            </w:pPr>
            <w:r>
              <w:t xml:space="preserve">2</w:t>
            </w:r>
          </w:p>
        </w:tc>
        <w:tc>
          <w:tcPr/>
          <w:p>
            <w:pPr>
              <w:pStyle w:val="Compact"/>
              <w:jc w:val="left"/>
            </w:pPr>
            <w:r>
              <w:t xml:space="preserve">Construction of aerated concrete block partitions (200mm), including leveling and mortar application</w:t>
            </w:r>
          </w:p>
        </w:tc>
        <w:tc>
          <w:tcPr/>
          <w:p>
            <w:pPr>
              <w:pStyle w:val="Compact"/>
              <w:jc w:val="left"/>
            </w:pPr>
            <w:r>
              <w:t xml:space="preserve">860</w:t>
            </w:r>
          </w:p>
        </w:tc>
        <w:tc>
          <w:tcPr/>
          <w:p>
            <w:pPr>
              <w:pStyle w:val="Compact"/>
              <w:jc w:val="left"/>
            </w:pPr>
            <w:r>
              <w:t xml:space="preserve">m³</w:t>
            </w:r>
          </w:p>
        </w:tc>
        <w:tc>
          <w:tcPr/>
          <w:p>
            <w:pPr>
              <w:pStyle w:val="Compact"/>
              <w:jc w:val="left"/>
            </w:pPr>
            <w:r>
              <w:t xml:space="preserve">128,000</w:t>
            </w:r>
          </w:p>
        </w:tc>
        <w:tc>
          <w:tcPr/>
          <w:p>
            <w:pPr>
              <w:pStyle w:val="Compact"/>
              <w:jc w:val="left"/>
            </w:pPr>
            <w:r>
              <w:t xml:space="preserve">110,080,000</w:t>
            </w:r>
          </w:p>
        </w:tc>
      </w:tr>
      <w:tr>
        <w:tc>
          <w:tcPr/>
          <w:p>
            <w:pPr>
              <w:pStyle w:val="Compact"/>
              <w:jc w:val="left"/>
            </w:pPr>
            <w:r>
              <w:t xml:space="preserve">3</w:t>
            </w:r>
          </w:p>
        </w:tc>
        <w:tc>
          <w:tcPr/>
          <w:p>
            <w:pPr>
              <w:pStyle w:val="Compact"/>
              <w:jc w:val="left"/>
            </w:pPr>
            <w:r>
              <w:t xml:space="preserve">Installation of precast concrete lintels and ring beams (seismic reinforcement per Almaty code)</w:t>
            </w:r>
          </w:p>
        </w:tc>
        <w:tc>
          <w:tcPr/>
          <w:p>
            <w:pPr>
              <w:pStyle w:val="Compact"/>
              <w:jc w:val="left"/>
            </w:pPr>
            <w:r>
              <w:t xml:space="preserve">340</w:t>
            </w:r>
          </w:p>
        </w:tc>
        <w:tc>
          <w:tcPr/>
          <w:p>
            <w:pPr>
              <w:pStyle w:val="Compact"/>
              <w:jc w:val="left"/>
            </w:pPr>
            <w:r>
              <w:t xml:space="preserve">linear m</w:t>
            </w:r>
          </w:p>
        </w:tc>
        <w:tc>
          <w:tcPr/>
          <w:p>
            <w:pPr>
              <w:pStyle w:val="Compact"/>
              <w:jc w:val="left"/>
            </w:pPr>
            <w:r>
              <w:t xml:space="preserve">42,500</w:t>
            </w:r>
          </w:p>
        </w:tc>
        <w:tc>
          <w:tcPr/>
          <w:p>
            <w:pPr>
              <w:pStyle w:val="Compact"/>
              <w:jc w:val="left"/>
            </w:pPr>
            <w:r>
              <w:t xml:space="preserve">14,450,000</w:t>
            </w:r>
          </w:p>
        </w:tc>
      </w:tr>
      <w:tr>
        <w:tc>
          <w:tcPr/>
          <w:p>
            <w:pPr>
              <w:pStyle w:val="Compact"/>
              <w:jc w:val="left"/>
            </w:pPr>
            <w:r>
              <w:t xml:space="preserve">4</w:t>
            </w:r>
          </w:p>
        </w:tc>
        <w:tc>
          <w:tcPr/>
          <w:p>
            <w:pPr>
              <w:pStyle w:val="Compact"/>
              <w:jc w:val="left"/>
            </w:pPr>
            <w:r>
              <w:t xml:space="preserve">Construction of foundation walls using heavy-duty concrete blocks (400mm), including waterproofing mortar layer</w:t>
            </w:r>
          </w:p>
        </w:tc>
        <w:tc>
          <w:tcPr/>
          <w:p>
            <w:pPr>
              <w:pStyle w:val="Compact"/>
              <w:jc w:val="left"/>
            </w:pPr>
            <w:r>
              <w:t xml:space="preserve">420</w:t>
            </w:r>
          </w:p>
        </w:tc>
        <w:tc>
          <w:tcPr/>
          <w:p>
            <w:pPr>
              <w:pStyle w:val="Compact"/>
              <w:jc w:val="left"/>
            </w:pPr>
            <w:r>
              <w:t xml:space="preserve">m³</w:t>
            </w:r>
          </w:p>
        </w:tc>
        <w:tc>
          <w:tcPr/>
          <w:p>
            <w:pPr>
              <w:pStyle w:val="Compact"/>
              <w:jc w:val="left"/>
            </w:pPr>
            <w:r>
              <w:t xml:space="preserve">210,000</w:t>
            </w:r>
          </w:p>
        </w:tc>
        <w:tc>
          <w:tcPr/>
          <w:p>
            <w:pPr>
              <w:pStyle w:val="Compact"/>
              <w:jc w:val="left"/>
            </w:pPr>
            <w:r>
              <w:t xml:space="preserve">88,200,000</w:t>
            </w:r>
          </w:p>
        </w:tc>
      </w:tr>
      <w:tr>
        <w:tc>
          <w:tcPr/>
          <w:p>
            <w:pPr>
              <w:pStyle w:val="Compact"/>
              <w:jc w:val="left"/>
            </w:pPr>
            <w:r>
              <w:t xml:space="preserve">5</w:t>
            </w:r>
          </w:p>
        </w:tc>
        <w:tc>
          <w:tcPr/>
          <w:p>
            <w:pPr>
              <w:pStyle w:val="Compact"/>
              <w:jc w:val="left"/>
            </w:pPr>
            <w:r>
              <w:t xml:space="preserve">Application of cement-sand mortar for surface preparation (two coats, 15mm each) on all masonry surfaces</w:t>
            </w:r>
          </w:p>
        </w:tc>
        <w:tc>
          <w:tcPr/>
          <w:p>
            <w:pPr>
              <w:pStyle w:val="Compact"/>
              <w:jc w:val="left"/>
            </w:pPr>
            <w:r>
              <w:t xml:space="preserve">5,600</w:t>
            </w:r>
          </w:p>
        </w:tc>
        <w:tc>
          <w:tcPr/>
          <w:p>
            <w:pPr>
              <w:pStyle w:val="Compact"/>
              <w:jc w:val="left"/>
            </w:pPr>
            <w:r>
              <w:t xml:space="preserve">m²</w:t>
            </w:r>
          </w:p>
        </w:tc>
        <w:tc>
          <w:tcPr/>
          <w:p>
            <w:pPr>
              <w:pStyle w:val="Compact"/>
              <w:jc w:val="left"/>
            </w:pPr>
            <w:r>
              <w:t xml:space="preserve">8,500</w:t>
            </w:r>
          </w:p>
        </w:tc>
        <w:tc>
          <w:tcPr/>
          <w:p>
            <w:pPr>
              <w:pStyle w:val="Compact"/>
              <w:jc w:val="left"/>
            </w:pPr>
            <w:r>
              <w:t xml:space="preserve">47,600,000</w:t>
            </w:r>
          </w:p>
        </w:tc>
      </w:tr>
      <w:tr>
        <w:tc>
          <w:tcPr/>
          <w:p>
            <w:pPr>
              <w:pStyle w:val="Compact"/>
              <w:jc w:val="left"/>
            </w:pPr>
            <w:r>
              <w:t xml:space="preserve">6</w:t>
            </w:r>
          </w:p>
        </w:tc>
        <w:tc>
          <w:tcPr/>
          <w:p>
            <w:pPr>
              <w:pStyle w:val="Compact"/>
              <w:jc w:val="left"/>
            </w:pPr>
            <w:r>
              <w:t xml:space="preserve">Supply and installation of masonry reinforcement mesh (seismic zone requirement, Almaty)</w:t>
            </w:r>
          </w:p>
        </w:tc>
        <w:tc>
          <w:tcPr/>
          <w:p>
            <w:pPr>
              <w:pStyle w:val="Compact"/>
              <w:jc w:val="left"/>
            </w:pPr>
            <w:r>
              <w:t xml:space="preserve">3,200</w:t>
            </w:r>
          </w:p>
        </w:tc>
        <w:tc>
          <w:tcPr/>
          <w:p>
            <w:pPr>
              <w:pStyle w:val="Compact"/>
              <w:jc w:val="left"/>
            </w:pPr>
            <w:r>
              <w:t xml:space="preserve">m²</w:t>
            </w:r>
          </w:p>
        </w:tc>
        <w:tc>
          <w:tcPr/>
          <w:p>
            <w:pPr>
              <w:pStyle w:val="Compact"/>
              <w:jc w:val="left"/>
            </w:pPr>
            <w:r>
              <w:t xml:space="preserve">6,200</w:t>
            </w:r>
          </w:p>
        </w:tc>
        <w:tc>
          <w:tcPr/>
          <w:p>
            <w:pPr>
              <w:pStyle w:val="Compact"/>
              <w:jc w:val="left"/>
            </w:pPr>
            <w:r>
              <w:t xml:space="preserve">19,840,000</w:t>
            </w:r>
          </w:p>
        </w:tc>
      </w:tr>
      <w:tr>
        <w:tc>
          <w:tcPr/>
          <w:p>
            <w:pPr>
              <w:pStyle w:val="Compact"/>
              <w:jc w:val="left"/>
            </w:pPr>
            <w:r>
              <w:t xml:space="preserve">7</w:t>
            </w:r>
          </w:p>
        </w:tc>
        <w:tc>
          <w:tcPr/>
          <w:p>
            <w:pPr>
              <w:pStyle w:val="Compact"/>
              <w:jc w:val="left"/>
            </w:pPr>
            <w:r>
              <w:t xml:space="preserve">Site supervision by senior Mason engineer and daily quality inspection reporting</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8</w:t>
            </w:r>
          </w:p>
        </w:tc>
        <w:tc>
          <w:tcPr/>
          <w:p>
            <w:pPr>
              <w:pStyle w:val="Compact"/>
              <w:jc w:val="left"/>
            </w:pPr>
            <w:r>
              <w:t xml:space="preserve">Waste removal, site cleanup, and material handling within the Almaty project boundary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522,570,000</w:t>
            </w:r>
          </w:p>
        </w:tc>
      </w:tr>
      <w:tr>
        <w:tc>
          <w:tcPr>
            <w:gridSpan w:val="5"/>
          </w:tcPr>
          <w:p>
            <w:pPr>
              <w:pStyle w:val="Compact"/>
              <w:jc w:val="left"/>
            </w:pPr>
            <w:r>
              <w:t xml:space="preserve">VAT (12% per Kazakhstan tax code)</w:t>
            </w:r>
          </w:p>
        </w:tc>
        <w:tc>
          <w:tcPr/>
          <w:p>
            <w:pPr>
              <w:pStyle w:val="Compact"/>
              <w:jc w:val="left"/>
            </w:pPr>
            <w:r>
              <w:t xml:space="preserve">62,708,400</w:t>
            </w:r>
          </w:p>
        </w:tc>
      </w:tr>
      <w:tr>
        <w:tc>
          <w:tcPr>
            <w:gridSpan w:val="5"/>
          </w:tcPr>
          <w:p>
            <w:pPr>
              <w:pStyle w:val="Compact"/>
              <w:jc w:val="left"/>
            </w:pPr>
            <w:r>
              <w:t xml:space="preserve">TOTAL ESTIMATED COST</w:t>
            </w:r>
          </w:p>
        </w:tc>
        <w:tc>
          <w:tcPr/>
          <w:p>
            <w:pPr>
              <w:pStyle w:val="Compact"/>
              <w:jc w:val="left"/>
            </w:pPr>
            <w:r>
              <w:t xml:space="preserve">585,278,400 KZT</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Mason</w:t>
      </w:r>
      <w:r>
        <w:t xml:space="preserve"> </w:t>
      </w:r>
      <w:r>
        <w:t xml:space="preserve">works described in this</w:t>
      </w:r>
      <w:r>
        <w:t xml:space="preserve"> </w:t>
      </w:r>
      <w:r>
        <w:t xml:space="preserve">Quotation Estimate</w:t>
      </w:r>
      <w:r>
        <w:t xml:space="preserve"> </w:t>
      </w:r>
      <w:r>
        <w:t xml:space="preserve">are scheduled to commence on 1 August 2025 and are projected for completion by 30 October 2025, subject to weather conditions typical of</w:t>
      </w:r>
      <w:r>
        <w:t xml:space="preserve"> </w:t>
      </w:r>
      <w:r>
        <w:t xml:space="preserve">Kazakhstan Almaty</w:t>
      </w:r>
      <w:r>
        <w:t xml:space="preserve"> </w:t>
      </w:r>
      <w:r>
        <w:t xml:space="preserve">during the late summer and early autumn period. The total duration of the masonry phase is estimated at 90 working days. Any delays caused by extreme weather events, including early frost or heavy precipitation common in the Almaty region, will be documented and communicated to the client within 24 hours.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pricing and material costs are subject to revision based on current market conditions in</w:t>
      </w:r>
      <w:r>
        <w:t xml:space="preserve"> </w:t>
      </w:r>
      <w:r>
        <w:t xml:space="preserve">Kazakhstan Almaty</w:t>
      </w:r>
      <w:r>
        <w:t xml:space="preserve">.</w:t>
      </w:r>
    </w:p>
    <w:p>
      <w:pPr>
        <w:numPr>
          <w:ilvl w:val="0"/>
          <w:numId w:val="1001"/>
        </w:numPr>
        <w:pStyle w:val="Compact"/>
      </w:pPr>
      <w:r>
        <w:t xml:space="preserve">Payment shall be made in tranches: 30% upon contract signing, 40% upon completion of 60% of the</w:t>
      </w:r>
      <w:r>
        <w:t xml:space="preserve"> </w:t>
      </w:r>
      <w:r>
        <w:t xml:space="preserve">Mason</w:t>
      </w:r>
      <w:r>
        <w:t xml:space="preserve"> </w:t>
      </w:r>
      <w:r>
        <w:t xml:space="preserve">works, and 30% upon final acceptance and sign-off by the client's site engineer.</w:t>
      </w:r>
    </w:p>
    <w:p>
      <w:pPr>
        <w:numPr>
          <w:ilvl w:val="0"/>
          <w:numId w:val="1001"/>
        </w:numPr>
        <w:pStyle w:val="Compact"/>
      </w:pPr>
      <w:r>
        <w:t xml:space="preserve">All masonry work will comply with the Kazakhstani State Construction Standards (SNiP) and the specific seismic design requirements applicable to Almaty (seismic intensity zone 9).</w:t>
      </w:r>
    </w:p>
    <w:p>
      <w:pPr>
        <w:numPr>
          <w:ilvl w:val="0"/>
          <w:numId w:val="1001"/>
        </w:numPr>
        <w:pStyle w:val="Compact"/>
      </w:pPr>
      <w:r>
        <w:t xml:space="preserve">The</w:t>
      </w:r>
      <w:r>
        <w:t xml:space="preserve"> </w:t>
      </w:r>
      <w:r>
        <w:t xml:space="preserve">Mason</w:t>
      </w:r>
      <w:r>
        <w:t xml:space="preserve"> </w:t>
      </w:r>
      <w:r>
        <w:t xml:space="preserve">team will consist of a minimum of twelve (12) skilled masons, two (2) foremen, and one (1) senior structural engineer for supervision. All personnel will hold valid work permits for employment in Kazakhstan.</w:t>
      </w:r>
    </w:p>
    <w:p>
      <w:pPr>
        <w:numPr>
          <w:ilvl w:val="0"/>
          <w:numId w:val="1001"/>
        </w:numPr>
        <w:pStyle w:val="Compact"/>
      </w:pPr>
      <w:r>
        <w:t xml:space="preserve">Materials including bricks, concrete blocks, mortar, and reinforcement will be sourced from approved suppliers within the Almaty metropolitan area to minimize logistics costs and ensure timely delivery to the project site.</w:t>
      </w:r>
    </w:p>
    <w:p>
      <w:pPr>
        <w:numPr>
          <w:ilvl w:val="0"/>
          <w:numId w:val="1001"/>
        </w:numPr>
        <w:pStyle w:val="Compact"/>
      </w:pPr>
      <w:r>
        <w:t xml:space="preserve">A warranty period of twenty-four (24) months shall apply to all</w:t>
      </w:r>
      <w:r>
        <w:t xml:space="preserve"> </w:t>
      </w:r>
      <w:r>
        <w:t xml:space="preserve">Mason</w:t>
      </w:r>
      <w:r>
        <w:t xml:space="preserve"> </w:t>
      </w:r>
      <w:r>
        <w:t xml:space="preserve">works from the date of final acceptance. This warranty covers structural integrity, joint quality, and compliance with the specifications outlined in this</w:t>
      </w:r>
      <w:r>
        <w:t xml:space="preserve"> </w:t>
      </w:r>
      <w:r>
        <w:t xml:space="preserve">Quotation Estimate</w:t>
      </w:r>
      <w:r>
        <w:t xml:space="preserve">.</w:t>
      </w:r>
    </w:p>
    <w:p>
      <w:pPr>
        <w:numPr>
          <w:ilvl w:val="0"/>
          <w:numId w:val="1001"/>
        </w:numPr>
        <w:pStyle w:val="Compact"/>
      </w:pPr>
      <w:r>
        <w:t xml:space="preserve">Any changes to the scope of work must be agreed upon in writing via a formal variation order. The</w:t>
      </w:r>
      <w:r>
        <w:t xml:space="preserve"> </w:t>
      </w:r>
      <w:r>
        <w:t xml:space="preserve">Quotation Estimate</w:t>
      </w:r>
      <w:r>
        <w:t xml:space="preserve"> </w:t>
      </w:r>
      <w:r>
        <w:t xml:space="preserve">prices shall not be adjusted for variations unless explicitly stated in the variation document.</w:t>
      </w:r>
    </w:p>
    <w:p>
      <w:pPr>
        <w:numPr>
          <w:ilvl w:val="0"/>
          <w:numId w:val="1001"/>
        </w:numPr>
        <w:pStyle w:val="Compact"/>
      </w:pPr>
      <w:r>
        <w:t xml:space="preserve">Disputes arising from this agreement shall be resolved through arbitration in Almaty, Kazakhstan, in accordance with the rules of the Almaty International Arbitration Centre.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represents a fair and accurate assessment of the</w:t>
      </w:r>
      <w:r>
        <w:t xml:space="preserve"> </w:t>
      </w:r>
      <w:r>
        <w:t xml:space="preserve">Mason</w:t>
      </w:r>
      <w:r>
        <w:t xml:space="preserve"> </w:t>
      </w:r>
      <w:r>
        <w:t xml:space="preserve">services to be rendered at the specified project location in</w:t>
      </w:r>
      <w:r>
        <w:t xml:space="preserve"> </w:t>
      </w:r>
      <w:r>
        <w:t xml:space="preserve">Kazakhstan Almaty</w:t>
      </w:r>
      <w:r>
        <w:t xml:space="preserve">. This document, once countersigned, shall serve as the basis for the formal construction contract to be executed within fourteen (14) days of acceptance.</w:t>
      </w:r>
    </w:p>
    <w:p>
      <w:pPr>
        <w:pStyle w:val="BodyText"/>
      </w:pPr>
      <w:r>
        <w:rPr>
          <w:bCs/>
          <w:b/>
        </w:rPr>
        <w:t xml:space="preserve">For Almaty Masonry &amp; Construction Services LLP:</w:t>
      </w:r>
    </w:p>
    <w:p>
      <w:pPr>
        <w:pStyle w:val="BodyText"/>
      </w:pPr>
      <w:r>
        <w:t xml:space="preserve">Name: Dauren Bekzhanov</w:t>
      </w:r>
      <w:r>
        <w:br/>
      </w:r>
      <w:r>
        <w:t xml:space="preserve">Title: Chief Mason Engineer / Director</w:t>
      </w:r>
      <w:r>
        <w:br/>
      </w:r>
      <w:r>
        <w:t xml:space="preserve">Signature: _________________________</w:t>
      </w:r>
      <w:r>
        <w:br/>
      </w:r>
      <w:r>
        <w:t xml:space="preserve">Date: _________________________</w:t>
      </w:r>
    </w:p>
    <w:p>
      <w:pPr>
        <w:pStyle w:val="BodyText"/>
      </w:pPr>
      <w:r>
        <w:rPr>
          <w:bCs/>
          <w:b/>
        </w:rPr>
        <w:t xml:space="preserve">For Tengri Residential Development Group:</w:t>
      </w:r>
    </w:p>
    <w:p>
      <w:pPr>
        <w:pStyle w:val="BodyText"/>
      </w:pPr>
      <w:r>
        <w:t xml:space="preserve">Name: _________________________</w:t>
      </w:r>
      <w:r>
        <w:br/>
      </w:r>
      <w:r>
        <w:t xml:space="preserve">Title: Project Director</w:t>
      </w:r>
      <w:r>
        <w:br/>
      </w:r>
      <w:r>
        <w:t xml:space="preserve">Signature: _________________________</w:t>
      </w:r>
      <w:r>
        <w:br/>
      </w:r>
      <w:r>
        <w:t xml:space="preserve">Date: _________________________</w:t>
      </w:r>
    </w:p>
    <w:p>
      <w:pPr>
        <w:pStyle w:val="BodyText"/>
      </w:pPr>
      <w:r>
        <w:t xml:space="preserve">Quotation Estimate No. QTE-2025-ALM-0047 | Almaty Masonry &amp; Construction Services LLP | 145 Abai Avenue, Almaty, Kazakhstan</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Kazakhstan Almaty</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