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Morocco</w:t>
      </w:r>
      <w:r>
        <w:t xml:space="preserve"> </w:t>
      </w:r>
      <w:r>
        <w:t xml:space="preserve">Casablanca</w:t>
      </w:r>
    </w:p>
    <w:bookmarkStart w:id="20" w:name="quotation-estimate"/>
    <w:p>
      <w:pPr>
        <w:pStyle w:val="Heading1"/>
      </w:pPr>
      <w:r>
        <w:t xml:space="preserve">Quotation Estimate</w:t>
      </w:r>
    </w:p>
    <w:p>
      <w:pPr>
        <w:pStyle w:val="FirstParagraph"/>
      </w:pPr>
      <w:r>
        <w:rPr>
          <w:bCs/>
          <w:b/>
        </w:rPr>
        <w:t xml:space="preserve">Atlas Mason &amp; Construction Services SARL</w:t>
      </w:r>
    </w:p>
    <w:p>
      <w:pPr>
        <w:pStyle w:val="BodyText"/>
      </w:pPr>
      <w:r>
        <w:t xml:space="preserve">124 Boulevard Mohammed V, Casablanca 20250, Morocco</w:t>
      </w:r>
    </w:p>
    <w:p>
      <w:pPr>
        <w:pStyle w:val="BodyText"/>
      </w:pPr>
      <w:r>
        <w:t xml:space="preserve">Tel: +212 5 22 45 67 89 | Email: quotes@atlasmason.ma</w:t>
      </w:r>
    </w:p>
    <w:p>
      <w:pPr>
        <w:pStyle w:val="BodyText"/>
      </w:pPr>
      <w:r>
        <w:t xml:space="preserve">RC: 458721 | ICE: 002345678000091 | IF: 45872100</w:t>
      </w:r>
    </w:p>
    <w:bookmarkEnd w:id="20"/>
    <w:bookmarkStart w:id="21" w:name="prepared-for-client"/>
    <w:p>
      <w:pPr>
        <w:pStyle w:val="Heading3"/>
      </w:pPr>
      <w:r>
        <w:t xml:space="preserve">Prepared For (Client)</w:t>
      </w:r>
    </w:p>
    <w:p>
      <w:pPr>
        <w:pStyle w:val="FirstParagraph"/>
      </w:pPr>
      <w:r>
        <w:rPr>
          <w:bCs/>
          <w:b/>
        </w:rPr>
        <w:t xml:space="preserve">Mr. Youssef El Amrani</w:t>
      </w:r>
    </w:p>
    <w:p>
      <w:pPr>
        <w:pStyle w:val="BodyText"/>
      </w:pPr>
      <w:r>
        <w:t xml:space="preserve">Residential Project – Quartier Gauthier</w:t>
      </w:r>
    </w:p>
    <w:p>
      <w:pPr>
        <w:pStyle w:val="BodyText"/>
      </w:pPr>
      <w:r>
        <w:t xml:space="preserve">18 Rue Ibn Sina, Casablanca 20000, Morocco</w:t>
      </w:r>
    </w:p>
    <w:p>
      <w:pPr>
        <w:pStyle w:val="BodyText"/>
      </w:pPr>
      <w:r>
        <w:t xml:space="preserve">Tel: +212 6 61 23 45 67</w:t>
      </w:r>
    </w:p>
    <w:p>
      <w:pPr>
        <w:pStyle w:val="BodyText"/>
      </w:pPr>
      <w:r>
        <w:t xml:space="preserve">Email: y.elamrani@email.ma</w:t>
      </w:r>
    </w:p>
    <w:bookmarkEnd w:id="21"/>
    <w:bookmarkStart w:id="22" w:name="prepared-by-mason-contractor"/>
    <w:p>
      <w:pPr>
        <w:pStyle w:val="Heading3"/>
      </w:pPr>
      <w:r>
        <w:t xml:space="preserve">Prepared By (Mason Contractor)</w:t>
      </w:r>
    </w:p>
    <w:p>
      <w:pPr>
        <w:pStyle w:val="FirstParagraph"/>
      </w:pPr>
      <w:r>
        <w:rPr>
          <w:bCs/>
          <w:b/>
        </w:rPr>
        <w:t xml:space="preserve">Atlas Mason &amp; Construction Services SARL</w:t>
      </w:r>
    </w:p>
    <w:p>
      <w:pPr>
        <w:pStyle w:val="BodyText"/>
      </w:pPr>
      <w:r>
        <w:t xml:space="preserve">Licensed Mason &amp; Masonry Specialist</w:t>
      </w:r>
    </w:p>
    <w:p>
      <w:pPr>
        <w:pStyle w:val="BodyText"/>
      </w:pPr>
      <w:r>
        <w:t xml:space="preserve">Certified under Moroccan Ministry of Housing</w:t>
      </w:r>
    </w:p>
    <w:p>
      <w:pPr>
        <w:pStyle w:val="BodyText"/>
      </w:pPr>
      <w:r>
        <w:t xml:space="preserve">License No: MASON-CAS-2019-0042</w:t>
      </w:r>
    </w:p>
    <w:p>
      <w:pPr>
        <w:pStyle w:val="BodyText"/>
      </w:pPr>
      <w:r>
        <w:t xml:space="preserve">Operating in Morocco Casablanca since 2012</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QTE-MASON-CAS-2025-0347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Project Location:</w:t>
            </w:r>
          </w:p>
        </w:tc>
        <w:tc>
          <w:tcPr/>
          <w:p>
            <w:pPr>
              <w:pStyle w:val="Compact"/>
              <w:jc w:val="left"/>
            </w:pPr>
            <w:r>
              <w:t xml:space="preserve">Quartier Gauthier, Morocco Casablanca</w:t>
            </w:r>
          </w:p>
        </w:tc>
        <w:tc>
          <w:tcPr/>
          <w:p>
            <w:pPr>
              <w:pStyle w:val="Compact"/>
              <w:jc w:val="left"/>
            </w:pPr>
            <w:r>
              <w:t xml:space="preserve">Validity Period:</w:t>
            </w:r>
          </w:p>
        </w:tc>
        <w:tc>
          <w:tcPr/>
          <w:p>
            <w:pPr>
              <w:pStyle w:val="Compact"/>
              <w:jc w:val="left"/>
            </w:pPr>
            <w:r>
              <w:t xml:space="preserve">30 days from issue date</w:t>
            </w:r>
          </w:p>
        </w:tc>
      </w:tr>
      <w:tr>
        <w:tc>
          <w:tcPr/>
          <w:p>
            <w:pPr>
              <w:pStyle w:val="Compact"/>
              <w:jc w:val="left"/>
            </w:pPr>
            <w:r>
              <w:t xml:space="preserve">Project Type:</w:t>
            </w:r>
          </w:p>
        </w:tc>
        <w:tc>
          <w:tcPr/>
          <w:p>
            <w:pPr>
              <w:pStyle w:val="Compact"/>
              <w:jc w:val="left"/>
            </w:pPr>
            <w:r>
              <w:t xml:space="preserve">Residential Masonry &amp; Structural Work</w:t>
            </w:r>
          </w:p>
        </w:tc>
        <w:tc>
          <w:tcPr/>
          <w:p>
            <w:pPr>
              <w:pStyle w:val="Compact"/>
              <w:jc w:val="left"/>
            </w:pPr>
            <w:r>
              <w:t xml:space="preserve">Estimated Duration:</w:t>
            </w:r>
          </w:p>
        </w:tc>
        <w:tc>
          <w:tcPr/>
          <w:p>
            <w:pPr>
              <w:pStyle w:val="Compact"/>
              <w:jc w:val="left"/>
            </w:pPr>
            <w:r>
              <w:t xml:space="preserve">45 working days</w:t>
            </w:r>
          </w:p>
        </w:tc>
      </w:tr>
    </w:tbl>
    <w:bookmarkStart w:id="23" w:name="scope-of-mason-work-morocco-casablanca"/>
    <w:p>
      <w:pPr>
        <w:pStyle w:val="Heading2"/>
      </w:pPr>
      <w:r>
        <w:t xml:space="preserve">1. Scope of Mason Work – Morocco Casablanca</w:t>
      </w:r>
    </w:p>
    <w:p>
      <w:pPr>
        <w:pStyle w:val="FirstParagraph"/>
      </w:pPr>
      <w:r>
        <w:t xml:space="preserve">This</w:t>
      </w:r>
      <w:r>
        <w:t xml:space="preserve"> </w:t>
      </w:r>
      <w:r>
        <w:t xml:space="preserve">Quotation Estimate</w:t>
      </w:r>
      <w:r>
        <w:t xml:space="preserve"> </w:t>
      </w:r>
      <w:r>
        <w:t xml:space="preserve">is issued by Atlas Mason &amp; Construction Services SARL, a fully licensed and insured</w:t>
      </w:r>
      <w:r>
        <w:t xml:space="preserve"> </w:t>
      </w:r>
      <w:r>
        <w:t xml:space="preserve">Mason</w:t>
      </w:r>
      <w:r>
        <w:t xml:space="preserve"> </w:t>
      </w:r>
      <w:r>
        <w:t xml:space="preserve">operating in</w:t>
      </w:r>
      <w:r>
        <w:t xml:space="preserve"> </w:t>
      </w:r>
      <w:r>
        <w:t xml:space="preserve">Morocco Casablanca</w:t>
      </w:r>
      <w:r>
        <w:t xml:space="preserve">, to provide a comprehensive breakdown of all masonry, structural, and finishing works required for the client's residential property. The</w:t>
      </w:r>
      <w:r>
        <w:t xml:space="preserve"> </w:t>
      </w:r>
      <w:r>
        <w:t xml:space="preserve">Mason</w:t>
      </w:r>
      <w:r>
        <w:t xml:space="preserve"> </w:t>
      </w:r>
      <w:r>
        <w:t xml:space="preserve">team will execute all tasks in strict compliance with Moroccan building regulations (Réglementation de Construction) and the specific urban planning codes applicable to the Casablanca metropolitan area.</w:t>
      </w:r>
    </w:p>
    <w:p>
      <w:pPr>
        <w:numPr>
          <w:ilvl w:val="0"/>
          <w:numId w:val="1001"/>
        </w:numPr>
        <w:pStyle w:val="Compact"/>
      </w:pPr>
      <w:r>
        <w:rPr>
          <w:bCs/>
          <w:b/>
        </w:rPr>
        <w:t xml:space="preserve">Foundation Masonry:</w:t>
      </w:r>
      <w:r>
        <w:t xml:space="preserve"> </w:t>
      </w:r>
      <w:r>
        <w:t xml:space="preserve">Excavation, formwork, and concrete pouring for strip foundations (1.2m depth) using C25/30 concrete, reinforced with HA12 and HA16 steel bars, in accordance with Moroccan seismic zone requirements for Casablanca.</w:t>
      </w:r>
    </w:p>
    <w:p>
      <w:pPr>
        <w:numPr>
          <w:ilvl w:val="0"/>
          <w:numId w:val="1001"/>
        </w:numPr>
        <w:pStyle w:val="Compact"/>
      </w:pPr>
      <w:r>
        <w:rPr>
          <w:bCs/>
          <w:b/>
        </w:rPr>
        <w:t xml:space="preserve">Load-Bearing Wall Construction:</w:t>
      </w:r>
      <w:r>
        <w:t xml:space="preserve"> </w:t>
      </w:r>
      <w:r>
        <w:t xml:space="preserve">Erection of 20cm thick load-bearing walls using standard Moroccan clay bricks (briques de terre cuite) with M10 cement mortar, including proper bonding patterns and reinforcement at corners and openings.</w:t>
      </w:r>
    </w:p>
    <w:p>
      <w:pPr>
        <w:numPr>
          <w:ilvl w:val="0"/>
          <w:numId w:val="1001"/>
        </w:numPr>
        <w:pStyle w:val="Compact"/>
      </w:pPr>
      <w:r>
        <w:rPr>
          <w:bCs/>
          <w:b/>
        </w:rPr>
        <w:t xml:space="preserve">Partition Walls:</w:t>
      </w:r>
      <w:r>
        <w:t xml:space="preserve"> </w:t>
      </w:r>
      <w:r>
        <w:t xml:space="preserve">Construction of 10cm non-load-bearing partition walls using hollow concrete blocks (parpaings) for interior room divisions throughout the ground floor and first floor.</w:t>
      </w:r>
    </w:p>
    <w:p>
      <w:pPr>
        <w:numPr>
          <w:ilvl w:val="0"/>
          <w:numId w:val="1001"/>
        </w:numPr>
        <w:pStyle w:val="Compact"/>
      </w:pPr>
      <w:r>
        <w:rPr>
          <w:bCs/>
          <w:b/>
        </w:rPr>
        <w:t xml:space="preserve">Lintels &amp; Structural Openings:</w:t>
      </w:r>
      <w:r>
        <w:t xml:space="preserve"> </w:t>
      </w:r>
      <w:r>
        <w:t xml:space="preserve">Installation of precast concrete lintels (25cm x 15cm) above all door and window openings, with proper bearing of minimum 25cm on each side.</w:t>
      </w:r>
    </w:p>
    <w:p>
      <w:pPr>
        <w:numPr>
          <w:ilvl w:val="0"/>
          <w:numId w:val="1001"/>
        </w:numPr>
        <w:pStyle w:val="Compact"/>
      </w:pPr>
      <w:r>
        <w:rPr>
          <w:bCs/>
          <w:b/>
        </w:rPr>
        <w:t xml:space="preserve">Staircase Masonry:</w:t>
      </w:r>
      <w:r>
        <w:t xml:space="preserve"> </w:t>
      </w:r>
      <w:r>
        <w:t xml:space="preserve">Construction of a straight-run concrete staircase (14 steps) with brickwork stringers, including handrail anchoring points and nosing finishing.</w:t>
      </w:r>
    </w:p>
    <w:p>
      <w:pPr>
        <w:numPr>
          <w:ilvl w:val="0"/>
          <w:numId w:val="1001"/>
        </w:numPr>
        <w:pStyle w:val="Compact"/>
      </w:pPr>
      <w:r>
        <w:rPr>
          <w:bCs/>
          <w:b/>
        </w:rPr>
        <w:t xml:space="preserve">Plastering &amp; Rendering:</w:t>
      </w:r>
      <w:r>
        <w:t xml:space="preserve"> </w:t>
      </w:r>
      <w:r>
        <w:t xml:space="preserve">Application of two-coat cement plaster (1.5cm + 1cm) on all interior and exterior masonry surfaces, followed by a smooth finishing coat on exterior walls.</w:t>
      </w:r>
    </w:p>
    <w:p>
      <w:pPr>
        <w:numPr>
          <w:ilvl w:val="0"/>
          <w:numId w:val="1001"/>
        </w:numPr>
        <w:pStyle w:val="Compact"/>
      </w:pPr>
      <w:r>
        <w:rPr>
          <w:bCs/>
          <w:b/>
        </w:rPr>
        <w:t xml:space="preserve">Chimney &amp; Ventilation Shafts:</w:t>
      </w:r>
      <w:r>
        <w:t xml:space="preserve"> </w:t>
      </w:r>
      <w:r>
        <w:t xml:space="preserve">Masonry construction of one kitchen chimney (20cm x 20cm) and two bathroom ventilation shafts using fire-rated bricks and refractory mortar.</w:t>
      </w:r>
    </w:p>
    <w:p>
      <w:pPr>
        <w:numPr>
          <w:ilvl w:val="0"/>
          <w:numId w:val="1001"/>
        </w:numPr>
        <w:pStyle w:val="Compact"/>
      </w:pPr>
      <w:r>
        <w:rPr>
          <w:bCs/>
          <w:b/>
        </w:rPr>
        <w:t xml:space="preserve">Site Cleanup &amp; Debris Removal:</w:t>
      </w:r>
      <w:r>
        <w:t xml:space="preserve"> </w:t>
      </w:r>
      <w:r>
        <w:t xml:space="preserve">Complete removal of all construction waste, broken bricks, and masonry debris from the site in Morocco Casablanca, in compliance with local waste disposal regulations.</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Mason Work</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(MAD)</w:t>
            </w:r>
          </w:p>
        </w:tc>
        <w:tc>
          <w:tcPr/>
          <w:p>
            <w:pPr>
              <w:pStyle w:val="Compact"/>
              <w:jc w:val="left"/>
            </w:pPr>
            <w:r>
              <w:t xml:space="preserve">Total (MAD)</w:t>
            </w:r>
          </w:p>
        </w:tc>
      </w:tr>
      <w:tr>
        <w:tc>
          <w:tcPr/>
          <w:p>
            <w:pPr>
              <w:pStyle w:val="Compact"/>
              <w:jc w:val="left"/>
            </w:pPr>
            <w:r>
              <w:t xml:space="preserve">01</w:t>
            </w:r>
          </w:p>
        </w:tc>
        <w:tc>
          <w:tcPr/>
          <w:p>
            <w:pPr>
              <w:pStyle w:val="Compact"/>
              <w:jc w:val="left"/>
            </w:pPr>
            <w:r>
              <w:t xml:space="preserve">Foundation masonry &amp; concrete works (C25/30, reinforced)</w:t>
            </w:r>
          </w:p>
        </w:tc>
        <w:tc>
          <w:tcPr/>
          <w:p>
            <w:pPr>
              <w:pStyle w:val="Compact"/>
              <w:jc w:val="left"/>
            </w:pPr>
            <w:r>
              <w:t xml:space="preserve">m³</w:t>
            </w:r>
          </w:p>
        </w:tc>
        <w:tc>
          <w:tcPr/>
          <w:p>
            <w:pPr>
              <w:pStyle w:val="Compact"/>
              <w:jc w:val="left"/>
            </w:pPr>
            <w:r>
              <w:t xml:space="preserve">18.5</w:t>
            </w:r>
          </w:p>
        </w:tc>
        <w:tc>
          <w:tcPr/>
          <w:p>
            <w:pPr>
              <w:pStyle w:val="Compact"/>
              <w:jc w:val="left"/>
            </w:pPr>
            <w:r>
              <w:t xml:space="preserve">2,850</w:t>
            </w:r>
          </w:p>
        </w:tc>
        <w:tc>
          <w:tcPr/>
          <w:p>
            <w:pPr>
              <w:pStyle w:val="Compact"/>
              <w:jc w:val="left"/>
            </w:pPr>
            <w:r>
              <w:t xml:space="preserve">52,725.00</w:t>
            </w:r>
          </w:p>
        </w:tc>
      </w:tr>
      <w:tr>
        <w:tc>
          <w:tcPr/>
          <w:p>
            <w:pPr>
              <w:pStyle w:val="Compact"/>
              <w:jc w:val="left"/>
            </w:pPr>
            <w:r>
              <w:t xml:space="preserve">02</w:t>
            </w:r>
          </w:p>
        </w:tc>
        <w:tc>
          <w:tcPr/>
          <w:p>
            <w:pPr>
              <w:pStyle w:val="Compact"/>
              <w:jc w:val="left"/>
            </w:pPr>
            <w:r>
              <w:t xml:space="preserve">Load-bearing brick walls (20cm, clay bricks, M10 mortar)</w:t>
            </w:r>
          </w:p>
        </w:tc>
        <w:tc>
          <w:tcPr/>
          <w:p>
            <w:pPr>
              <w:pStyle w:val="Compact"/>
              <w:jc w:val="left"/>
            </w:pPr>
            <w:r>
              <w:t xml:space="preserve">m²</w:t>
            </w:r>
          </w:p>
        </w:tc>
        <w:tc>
          <w:tcPr/>
          <w:p>
            <w:pPr>
              <w:pStyle w:val="Compact"/>
              <w:jc w:val="left"/>
            </w:pPr>
            <w:r>
              <w:t xml:space="preserve">142.0</w:t>
            </w:r>
          </w:p>
        </w:tc>
        <w:tc>
          <w:tcPr/>
          <w:p>
            <w:pPr>
              <w:pStyle w:val="Compact"/>
              <w:jc w:val="left"/>
            </w:pPr>
            <w:r>
              <w:t xml:space="preserve">385</w:t>
            </w:r>
          </w:p>
        </w:tc>
        <w:tc>
          <w:tcPr/>
          <w:p>
            <w:pPr>
              <w:pStyle w:val="Compact"/>
              <w:jc w:val="left"/>
            </w:pPr>
            <w:r>
              <w:t xml:space="preserve">54,670.00</w:t>
            </w:r>
          </w:p>
        </w:tc>
      </w:tr>
      <w:tr>
        <w:tc>
          <w:tcPr/>
          <w:p>
            <w:pPr>
              <w:pStyle w:val="Compact"/>
              <w:jc w:val="left"/>
            </w:pPr>
            <w:r>
              <w:t xml:space="preserve">03</w:t>
            </w:r>
          </w:p>
        </w:tc>
        <w:tc>
          <w:tcPr/>
          <w:p>
            <w:pPr>
              <w:pStyle w:val="Compact"/>
              <w:jc w:val="left"/>
            </w:pPr>
            <w:r>
              <w:t xml:space="preserve">Interior partition walls (10cm, hollow blocks)</w:t>
            </w:r>
          </w:p>
        </w:tc>
        <w:tc>
          <w:tcPr/>
          <w:p>
            <w:pPr>
              <w:pStyle w:val="Compact"/>
              <w:jc w:val="left"/>
            </w:pPr>
            <w:r>
              <w:t xml:space="preserve">m²</w:t>
            </w:r>
          </w:p>
        </w:tc>
        <w:tc>
          <w:tcPr/>
          <w:p>
            <w:pPr>
              <w:pStyle w:val="Compact"/>
              <w:jc w:val="left"/>
            </w:pPr>
            <w:r>
              <w:t xml:space="preserve">96.0</w:t>
            </w:r>
          </w:p>
        </w:tc>
        <w:tc>
          <w:tcPr/>
          <w:p>
            <w:pPr>
              <w:pStyle w:val="Compact"/>
              <w:jc w:val="left"/>
            </w:pPr>
            <w:r>
              <w:t xml:space="preserve">245</w:t>
            </w:r>
          </w:p>
        </w:tc>
        <w:tc>
          <w:tcPr/>
          <w:p>
            <w:pPr>
              <w:pStyle w:val="Compact"/>
              <w:jc w:val="left"/>
            </w:pPr>
            <w:r>
              <w:t xml:space="preserve">23,520.00</w:t>
            </w:r>
          </w:p>
        </w:tc>
      </w:tr>
      <w:tr>
        <w:tc>
          <w:tcPr/>
          <w:p>
            <w:pPr>
              <w:pStyle w:val="Compact"/>
              <w:jc w:val="left"/>
            </w:pPr>
            <w:r>
              <w:t xml:space="preserve">04</w:t>
            </w:r>
          </w:p>
        </w:tc>
        <w:tc>
          <w:tcPr/>
          <w:p>
            <w:pPr>
              <w:pStyle w:val="Compact"/>
              <w:jc w:val="left"/>
            </w:pPr>
            <w:r>
              <w:t xml:space="preserve">Precast concrete lintels (25cm x 15cm) – supply &amp; install</w:t>
            </w:r>
          </w:p>
        </w:tc>
        <w:tc>
          <w:tcPr/>
          <w:p>
            <w:pPr>
              <w:pStyle w:val="Compact"/>
              <w:jc w:val="left"/>
            </w:pPr>
            <w:r>
              <w:t xml:space="preserve">Unit</w:t>
            </w:r>
          </w:p>
        </w:tc>
        <w:tc>
          <w:tcPr/>
          <w:p>
            <w:pPr>
              <w:pStyle w:val="Compact"/>
              <w:jc w:val="left"/>
            </w:pPr>
            <w:r>
              <w:t xml:space="preserve">14</w:t>
            </w:r>
          </w:p>
        </w:tc>
        <w:tc>
          <w:tcPr/>
          <w:p>
            <w:pPr>
              <w:pStyle w:val="Compact"/>
              <w:jc w:val="left"/>
            </w:pPr>
            <w:r>
              <w:t xml:space="preserve">1,250</w:t>
            </w:r>
          </w:p>
        </w:tc>
        <w:tc>
          <w:tcPr/>
          <w:p>
            <w:pPr>
              <w:pStyle w:val="Compact"/>
              <w:jc w:val="left"/>
            </w:pPr>
            <w:r>
              <w:t xml:space="preserve">17,500.00</w:t>
            </w:r>
          </w:p>
        </w:tc>
      </w:tr>
      <w:tr>
        <w:tc>
          <w:tcPr/>
          <w:p>
            <w:pPr>
              <w:pStyle w:val="Compact"/>
              <w:jc w:val="left"/>
            </w:pPr>
            <w:r>
              <w:t xml:space="preserve">05</w:t>
            </w:r>
          </w:p>
        </w:tc>
        <w:tc>
          <w:tcPr/>
          <w:p>
            <w:pPr>
              <w:pStyle w:val="Compact"/>
              <w:jc w:val="left"/>
            </w:pPr>
            <w:r>
              <w:t xml:space="preserve">Concrete staircase masonry (14 steps, brick stringers)</w:t>
            </w:r>
          </w:p>
        </w:tc>
        <w:tc>
          <w:tcPr/>
          <w:p>
            <w:pPr>
              <w:pStyle w:val="Compact"/>
              <w:jc w:val="left"/>
            </w:pPr>
            <w:r>
              <w:t xml:space="preserve">Lot</w:t>
            </w:r>
          </w:p>
        </w:tc>
        <w:tc>
          <w:tcPr/>
          <w:p>
            <w:pPr>
              <w:pStyle w:val="Compact"/>
              <w:jc w:val="left"/>
            </w:pPr>
            <w:r>
              <w:t xml:space="preserve">1</w:t>
            </w:r>
          </w:p>
        </w:tc>
        <w:tc>
          <w:tcPr/>
          <w:p>
            <w:pPr>
              <w:pStyle w:val="Compact"/>
              <w:jc w:val="left"/>
            </w:pPr>
            <w:r>
              <w:t xml:space="preserve">48,500</w:t>
            </w:r>
          </w:p>
        </w:tc>
        <w:tc>
          <w:tcPr/>
          <w:p>
            <w:pPr>
              <w:pStyle w:val="Compact"/>
              <w:jc w:val="left"/>
            </w:pPr>
            <w:r>
              <w:t xml:space="preserve">48,500.00</w:t>
            </w:r>
          </w:p>
        </w:tc>
      </w:tr>
      <w:tr>
        <w:tc>
          <w:tcPr/>
          <w:p>
            <w:pPr>
              <w:pStyle w:val="Compact"/>
              <w:jc w:val="left"/>
            </w:pPr>
            <w:r>
              <w:t xml:space="preserve">06</w:t>
            </w:r>
          </w:p>
        </w:tc>
        <w:tc>
          <w:tcPr/>
          <w:p>
            <w:pPr>
              <w:pStyle w:val="Compact"/>
              <w:jc w:val="left"/>
            </w:pPr>
            <w:r>
              <w:t xml:space="preserve">Interior &amp; exterior plastering (two-coat cement render)</w:t>
            </w:r>
          </w:p>
        </w:tc>
        <w:tc>
          <w:tcPr/>
          <w:p>
            <w:pPr>
              <w:pStyle w:val="Compact"/>
              <w:jc w:val="left"/>
            </w:pPr>
            <w:r>
              <w:t xml:space="preserve">m²</w:t>
            </w:r>
          </w:p>
        </w:tc>
        <w:tc>
          <w:tcPr/>
          <w:p>
            <w:pPr>
              <w:pStyle w:val="Compact"/>
              <w:jc w:val="left"/>
            </w:pPr>
            <w:r>
              <w:t xml:space="preserve">420.0</w:t>
            </w:r>
          </w:p>
        </w:tc>
        <w:tc>
          <w:tcPr/>
          <w:p>
            <w:pPr>
              <w:pStyle w:val="Compact"/>
              <w:jc w:val="left"/>
            </w:pPr>
            <w:r>
              <w:t xml:space="preserve">125</w:t>
            </w:r>
          </w:p>
        </w:tc>
        <w:tc>
          <w:tcPr/>
          <w:p>
            <w:pPr>
              <w:pStyle w:val="Compact"/>
              <w:jc w:val="left"/>
            </w:pPr>
            <w:r>
              <w:t xml:space="preserve">52,500.00</w:t>
            </w:r>
          </w:p>
        </w:tc>
      </w:tr>
      <w:tr>
        <w:tc>
          <w:tcPr/>
          <w:p>
            <w:pPr>
              <w:pStyle w:val="Compact"/>
              <w:jc w:val="left"/>
            </w:pPr>
            <w:r>
              <w:t xml:space="preserve">07</w:t>
            </w:r>
          </w:p>
        </w:tc>
        <w:tc>
          <w:tcPr/>
          <w:p>
            <w:pPr>
              <w:pStyle w:val="Compact"/>
              <w:jc w:val="left"/>
            </w:pPr>
            <w:r>
              <w:t xml:space="preserve">Chimney &amp; ventilation shaft masonry (fire-rated)</w:t>
            </w:r>
          </w:p>
        </w:tc>
        <w:tc>
          <w:tcPr/>
          <w:p>
            <w:pPr>
              <w:pStyle w:val="Compact"/>
              <w:jc w:val="left"/>
            </w:pPr>
            <w:r>
              <w:t xml:space="preserve">Lot</w:t>
            </w:r>
          </w:p>
        </w:tc>
        <w:tc>
          <w:tcPr/>
          <w:p>
            <w:pPr>
              <w:pStyle w:val="Compact"/>
              <w:jc w:val="left"/>
            </w:pPr>
            <w:r>
              <w:t xml:space="preserve">1</w:t>
            </w:r>
          </w:p>
        </w:tc>
        <w:tc>
          <w:tcPr/>
          <w:p>
            <w:pPr>
              <w:pStyle w:val="Compact"/>
              <w:jc w:val="left"/>
            </w:pPr>
            <w:r>
              <w:t xml:space="preserve">12,800</w:t>
            </w:r>
          </w:p>
        </w:tc>
        <w:tc>
          <w:tcPr/>
          <w:p>
            <w:pPr>
              <w:pStyle w:val="Compact"/>
              <w:jc w:val="left"/>
            </w:pPr>
            <w:r>
              <w:t xml:space="preserve">12,800.00</w:t>
            </w:r>
          </w:p>
        </w:tc>
      </w:tr>
      <w:tr>
        <w:tc>
          <w:tcPr/>
          <w:p>
            <w:pPr>
              <w:pStyle w:val="Compact"/>
              <w:jc w:val="left"/>
            </w:pPr>
            <w:r>
              <w:t xml:space="preserve">08</w:t>
            </w:r>
          </w:p>
        </w:tc>
        <w:tc>
          <w:tcPr/>
          <w:p>
            <w:pPr>
              <w:pStyle w:val="Compact"/>
              <w:jc w:val="left"/>
            </w:pPr>
            <w:r>
              <w:t xml:space="preserve">Scaffolding, formwork, and temporary works</w:t>
            </w:r>
          </w:p>
        </w:tc>
        <w:tc>
          <w:tcPr/>
          <w:p>
            <w:pPr>
              <w:pStyle w:val="Compact"/>
              <w:jc w:val="left"/>
            </w:pPr>
            <w:r>
              <w:t xml:space="preserve">Lot</w:t>
            </w:r>
          </w:p>
        </w:tc>
        <w:tc>
          <w:tcPr/>
          <w:p>
            <w:pPr>
              <w:pStyle w:val="Compact"/>
              <w:jc w:val="left"/>
            </w:pPr>
            <w:r>
              <w:t xml:space="preserve">1</w:t>
            </w:r>
          </w:p>
        </w:tc>
        <w:tc>
          <w:tcPr/>
          <w:p>
            <w:pPr>
              <w:pStyle w:val="Compact"/>
              <w:jc w:val="left"/>
            </w:pPr>
            <w:r>
              <w:t xml:space="preserve">15,200</w:t>
            </w:r>
          </w:p>
        </w:tc>
        <w:tc>
          <w:tcPr/>
          <w:p>
            <w:pPr>
              <w:pStyle w:val="Compact"/>
              <w:jc w:val="left"/>
            </w:pPr>
            <w:r>
              <w:t xml:space="preserve">15,200.00</w:t>
            </w:r>
          </w:p>
        </w:tc>
      </w:tr>
      <w:tr>
        <w:tc>
          <w:tcPr/>
          <w:p>
            <w:pPr>
              <w:pStyle w:val="Compact"/>
              <w:jc w:val="left"/>
            </w:pPr>
            <w:r>
              <w:t xml:space="preserve">09</w:t>
            </w:r>
          </w:p>
        </w:tc>
        <w:tc>
          <w:tcPr/>
          <w:p>
            <w:pPr>
              <w:pStyle w:val="Compact"/>
              <w:jc w:val="left"/>
            </w:pPr>
            <w:r>
              <w:t xml:space="preserve">Site cleanup, debris removal &amp; waste disposal (Casablanca)</w:t>
            </w:r>
          </w:p>
        </w:tc>
        <w:tc>
          <w:tcPr/>
          <w:p>
            <w:pPr>
              <w:pStyle w:val="Compact"/>
              <w:jc w:val="left"/>
            </w:pPr>
            <w:r>
              <w:t xml:space="preserve">Lot</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8,500.00</w:t>
            </w:r>
          </w:p>
        </w:tc>
      </w:tr>
      <w:tr>
        <w:tc>
          <w:tcPr/>
          <w:p>
            <w:pPr>
              <w:pStyle w:val="Compact"/>
              <w:jc w:val="left"/>
            </w:pPr>
            <w:r>
              <w:t xml:space="preserve">10</w:t>
            </w:r>
          </w:p>
        </w:tc>
        <w:tc>
          <w:tcPr/>
          <w:p>
            <w:pPr>
              <w:pStyle w:val="Compact"/>
              <w:jc w:val="left"/>
            </w:pPr>
            <w:r>
              <w:t xml:space="preserve">Mason supervision, project management &amp; quality control</w:t>
            </w:r>
          </w:p>
        </w:tc>
        <w:tc>
          <w:tcPr/>
          <w:p>
            <w:pPr>
              <w:pStyle w:val="Compact"/>
              <w:jc w:val="left"/>
            </w:pPr>
            <w:r>
              <w:t xml:space="preserve">Lot</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18,000.00</w:t>
            </w:r>
          </w:p>
        </w:tc>
      </w:tr>
      <w:tr>
        <w:tc>
          <w:tcPr>
            <w:gridSpan w:val="5"/>
          </w:tcPr>
          <w:p>
            <w:pPr>
              <w:pStyle w:val="Compact"/>
              <w:jc w:val="left"/>
            </w:pPr>
            <w:r>
              <w:t xml:space="preserve">Subtotal (MAD)</w:t>
            </w:r>
          </w:p>
        </w:tc>
        <w:tc>
          <w:tcPr/>
          <w:p>
            <w:pPr>
              <w:pStyle w:val="Compact"/>
              <w:jc w:val="left"/>
            </w:pPr>
            <w:r>
              <w:t xml:space="preserve">303,915.00</w:t>
            </w:r>
          </w:p>
        </w:tc>
      </w:tr>
      <w:tr>
        <w:tc>
          <w:tcPr>
            <w:gridSpan w:val="5"/>
          </w:tcPr>
          <w:p>
            <w:pPr>
              <w:pStyle w:val="Compact"/>
              <w:jc w:val="left"/>
            </w:pPr>
            <w:r>
              <w:t xml:space="preserve">TVA 20% (Moroccan Value Added Tax)</w:t>
            </w:r>
          </w:p>
        </w:tc>
        <w:tc>
          <w:tcPr/>
          <w:p>
            <w:pPr>
              <w:pStyle w:val="Compact"/>
              <w:jc w:val="left"/>
            </w:pPr>
            <w:r>
              <w:t xml:space="preserve">60,783.00</w:t>
            </w:r>
          </w:p>
        </w:tc>
      </w:tr>
      <w:tr>
        <w:tc>
          <w:tcPr>
            <w:gridSpan w:val="5"/>
          </w:tcPr>
          <w:p>
            <w:pPr>
              <w:pStyle w:val="Compact"/>
              <w:jc w:val="left"/>
            </w:pPr>
            <w:r>
              <w:rPr>
                <w:bCs/>
                <w:b/>
              </w:rPr>
              <w:t xml:space="preserve">GRAND TOTAL (MAD)</w:t>
            </w:r>
          </w:p>
        </w:tc>
        <w:tc>
          <w:tcPr/>
          <w:p>
            <w:pPr>
              <w:pStyle w:val="Compact"/>
              <w:jc w:val="left"/>
            </w:pPr>
            <w:r>
              <w:rPr>
                <w:bCs/>
                <w:b/>
              </w:rPr>
              <w:t xml:space="preserve">364,698.00</w:t>
            </w:r>
          </w:p>
        </w:tc>
      </w:tr>
    </w:tbl>
    <w:p>
      <w:pPr>
        <w:pStyle w:val="BodyText"/>
      </w:pPr>
      <w:r>
        <w:t xml:space="preserve">* All prices are quoted in Moroccan Dirhams (MAD). The</w:t>
      </w:r>
      <w:r>
        <w:t xml:space="preserve"> </w:t>
      </w:r>
      <w:r>
        <w:t xml:space="preserve">Mason</w:t>
      </w:r>
      <w:r>
        <w:t xml:space="preserve"> </w:t>
      </w:r>
      <w:r>
        <w:t xml:space="preserve">contractor assumes responsibility for all labor, standard materials, and equipment. Special materials or design modifications requested by the client after this</w:t>
      </w:r>
      <w:r>
        <w:t xml:space="preserve"> </w:t>
      </w:r>
      <w:r>
        <w:t xml:space="preserve">Quotation Estimate</w:t>
      </w:r>
      <w:r>
        <w:t xml:space="preserve"> </w:t>
      </w:r>
      <w:r>
        <w:t xml:space="preserve">is accepted will be subject to a separate supplementary quotation.</w:t>
      </w:r>
    </w:p>
    <w:bookmarkEnd w:id="24"/>
    <w:bookmarkStart w:id="25" w:name="payment-schedule"/>
    <w:p>
      <w:pPr>
        <w:pStyle w:val="Heading2"/>
      </w:pPr>
      <w:r>
        <w:t xml:space="preserve">3. Payment Schedule</w:t>
      </w:r>
    </w:p>
    <w:p>
      <w:pPr>
        <w:pStyle w:val="FirstParagraph"/>
      </w:pPr>
      <w:r>
        <w:t xml:space="preserve">This</w:t>
      </w:r>
      <w:r>
        <w:t xml:space="preserve"> </w:t>
      </w:r>
      <w:r>
        <w:t xml:space="preserve">Quotation Estimate</w:t>
      </w:r>
      <w:r>
        <w:t xml:space="preserve"> </w:t>
      </w:r>
      <w:r>
        <w:t xml:space="preserve">for</w:t>
      </w:r>
      <w:r>
        <w:t xml:space="preserve"> </w:t>
      </w:r>
      <w:r>
        <w:t xml:space="preserve">Mason</w:t>
      </w:r>
      <w:r>
        <w:t xml:space="preserve"> </w:t>
      </w:r>
      <w:r>
        <w:t xml:space="preserve">services in</w:t>
      </w:r>
      <w:r>
        <w:t xml:space="preserve"> </w:t>
      </w:r>
      <w:r>
        <w:t xml:space="preserve">Morocco Casablanca</w:t>
      </w:r>
      <w:r>
        <w:t xml:space="preserve"> </w:t>
      </w:r>
      <w:r>
        <w:t xml:space="preserve">shall be settled according to the following milestone-based payment plan:</w:t>
      </w:r>
    </w:p>
    <w:p>
      <w:pPr>
        <w:numPr>
          <w:ilvl w:val="0"/>
          <w:numId w:val="1002"/>
        </w:numPr>
        <w:pStyle w:val="Compact"/>
      </w:pPr>
      <w:r>
        <w:rPr>
          <w:bCs/>
          <w:b/>
        </w:rPr>
        <w:t xml:space="preserve">Advance Payment (30%):</w:t>
      </w:r>
      <w:r>
        <w:t xml:space="preserve"> </w:t>
      </w:r>
      <w:r>
        <w:t xml:space="preserve">MAD 109,409.40 – Due upon signing of the contract and acceptance of this Quotation Estimate.</w:t>
      </w:r>
    </w:p>
    <w:p>
      <w:pPr>
        <w:numPr>
          <w:ilvl w:val="0"/>
          <w:numId w:val="1002"/>
        </w:numPr>
        <w:pStyle w:val="Compact"/>
      </w:pPr>
      <w:r>
        <w:rPr>
          <w:bCs/>
          <w:b/>
        </w:rPr>
        <w:t xml:space="preserve">Progress Payment 1 (30%):</w:t>
      </w:r>
      <w:r>
        <w:t xml:space="preserve"> </w:t>
      </w:r>
      <w:r>
        <w:t xml:space="preserve">MAD 109,409.40 – Due upon completion of foundation and load-bearing wall masonry.</w:t>
      </w:r>
    </w:p>
    <w:p>
      <w:pPr>
        <w:numPr>
          <w:ilvl w:val="0"/>
          <w:numId w:val="1002"/>
        </w:numPr>
        <w:pStyle w:val="Compact"/>
      </w:pPr>
      <w:r>
        <w:rPr>
          <w:bCs/>
          <w:b/>
        </w:rPr>
        <w:t xml:space="preserve">Progress Payment 2 (25%):</w:t>
      </w:r>
      <w:r>
        <w:t xml:space="preserve"> </w:t>
      </w:r>
      <w:r>
        <w:t xml:space="preserve">MAD 91,174.50 – Due upon completion of partition walls, staircase, and lintel installation.</w:t>
      </w:r>
    </w:p>
    <w:p>
      <w:pPr>
        <w:numPr>
          <w:ilvl w:val="0"/>
          <w:numId w:val="1002"/>
        </w:numPr>
        <w:pStyle w:val="Compact"/>
      </w:pPr>
      <w:r>
        <w:rPr>
          <w:bCs/>
          <w:b/>
        </w:rPr>
        <w:t xml:space="preserve">Final Payment (15%):</w:t>
      </w:r>
      <w:r>
        <w:t xml:space="preserve"> </w:t>
      </w:r>
      <w:r>
        <w:t xml:space="preserve">MAD 54,704.70 – Due upon final handover, site cleanup, and client sign-off.</w:t>
      </w:r>
    </w:p>
    <w:bookmarkEnd w:id="25"/>
    <w:bookmarkStart w:id="26" w:name="terms-conditions"/>
    <w:p>
      <w:pPr>
        <w:pStyle w:val="Heading2"/>
      </w:pPr>
      <w:r>
        <w:t xml:space="preserve">4. Terms &amp; Conditions</w:t>
      </w:r>
    </w:p>
    <w:p>
      <w:pPr>
        <w:pStyle w:val="FirstParagraph"/>
      </w:pPr>
      <w:r>
        <w:rPr>
          <w:bCs/>
          <w:b/>
        </w:rPr>
        <w:t xml:space="preserve">4.1</w:t>
      </w:r>
      <w:r>
        <w:t xml:space="preserve"> </w:t>
      </w:r>
      <w:r>
        <w:t xml:space="preserve">This Quotation Estimate is valid for a period of thirty (30) calendar days from the date of issue. After this period, the Mason contractor reserves the right to revise pricing due to material cost fluctuations in the Morocco Casablanca market.</w:t>
      </w:r>
    </w:p>
    <w:p>
      <w:pPr>
        <w:pStyle w:val="BodyText"/>
      </w:pPr>
      <w:r>
        <w:rPr>
          <w:bCs/>
          <w:b/>
        </w:rPr>
        <w:t xml:space="preserve">4.2</w:t>
      </w:r>
      <w:r>
        <w:t xml:space="preserve"> </w:t>
      </w:r>
      <w:r>
        <w:t xml:space="preserve">The estimated project duration of forty-five (45) working days assumes standard weather conditions and uninterrupted access to the site in Morocco Casablanca. Delays caused by force majeure, client-requested changes, or regulatory holds by the Casablanca urban planning authority (Direction de l'Urbanisme) shall extend the timeline accordingly.</w:t>
      </w:r>
    </w:p>
    <w:p>
      <w:pPr>
        <w:pStyle w:val="BodyText"/>
      </w:pPr>
      <w:r>
        <w:rPr>
          <w:bCs/>
          <w:b/>
        </w:rPr>
        <w:t xml:space="preserve">4.3</w:t>
      </w:r>
      <w:r>
        <w:t xml:space="preserve"> </w:t>
      </w:r>
      <w:r>
        <w:t xml:space="preserve">The Mason contractor guarantees all masonry work for a period of two (2) years from the date of final acceptance, covering structural defects, improper bonding, and material failures attributable to workmanship.</w:t>
      </w:r>
    </w:p>
    <w:p>
      <w:pPr>
        <w:pStyle w:val="BodyText"/>
      </w:pPr>
      <w:r>
        <w:rPr>
          <w:bCs/>
          <w:b/>
        </w:rPr>
        <w:t xml:space="preserve">4.4</w:t>
      </w:r>
      <w:r>
        <w:t xml:space="preserve"> </w:t>
      </w:r>
      <w:r>
        <w:t xml:space="preserve">The client is responsible for obtaining all necessary building permits (permis de construire) from the Mairie de Casablanca prior to the commencement of any Mason work. The Mason contractor shall provide all technical drawings and structural calculations required for the permit application at no additional cost.</w:t>
      </w:r>
    </w:p>
    <w:p>
      <w:pPr>
        <w:pStyle w:val="BodyText"/>
      </w:pPr>
      <w:r>
        <w:rPr>
          <w:bCs/>
          <w:b/>
        </w:rPr>
        <w:t xml:space="preserve">4.5</w:t>
      </w:r>
      <w:r>
        <w:t xml:space="preserve"> </w:t>
      </w:r>
      <w:r>
        <w:t xml:space="preserve">All work shall comply with the Moroccan building code (Réglementation de Construction), seismic regulations applicable to Casablanca (Zone Seismique IIb), and local Casablanca urban planning directives.</w:t>
      </w:r>
    </w:p>
    <w:p>
      <w:pPr>
        <w:pStyle w:val="BodyText"/>
      </w:pPr>
      <w:r>
        <w:rPr>
          <w:bCs/>
          <w:b/>
        </w:rPr>
        <w:t xml:space="preserve">4.6</w:t>
      </w:r>
      <w:r>
        <w:t xml:space="preserve"> </w:t>
      </w:r>
      <w:r>
        <w:t xml:space="preserve">Any dispute arising from this Quotation Estimate or the subsequent contract shall be resolved through amicable negotiation. Failing resolution within thirty (30) days, the matter shall be submitted to the competent courts of Casablanca, Morocco.</w:t>
      </w:r>
    </w:p>
    <w:p>
      <w:pPr>
        <w:pStyle w:val="BodyText"/>
      </w:pPr>
      <w:r>
        <w:rPr>
          <w:bCs/>
          <w:b/>
        </w:rPr>
        <w:t xml:space="preserve">4.7</w:t>
      </w:r>
      <w:r>
        <w:t xml:space="preserve"> </w:t>
      </w:r>
      <w:r>
        <w:t xml:space="preserve">The Mason contractor maintains full civil liability insurance and workers' compensation coverage as required by Moroccan law. Certificates of insurance are available upon request.</w:t>
      </w:r>
    </w:p>
    <w:bookmarkEnd w:id="26"/>
    <w:bookmarkStart w:id="27" w:name="acceptance-signatures"/>
    <w:p>
      <w:pPr>
        <w:pStyle w:val="Heading2"/>
      </w:pPr>
      <w:r>
        <w:t xml:space="preserve">5. Acceptance &amp; Signatures</w:t>
      </w:r>
    </w:p>
    <w:p>
      <w:pPr>
        <w:pStyle w:val="FirstParagraph"/>
      </w:pPr>
      <w:r>
        <w:t xml:space="preserve">By signing below, both parties acknowledge and agree to the terms, scope, and pricing outlined in this</w:t>
      </w:r>
      <w:r>
        <w:t xml:space="preserve"> </w:t>
      </w:r>
      <w:r>
        <w:t xml:space="preserve">Quotation Estimate</w:t>
      </w:r>
      <w:r>
        <w:t xml:space="preserve"> </w:t>
      </w:r>
      <w:r>
        <w:t xml:space="preserve">for</w:t>
      </w:r>
      <w:r>
        <w:t xml:space="preserve"> </w:t>
      </w:r>
      <w:r>
        <w:t xml:space="preserve">Mason</w:t>
      </w:r>
      <w:r>
        <w:t xml:space="preserve"> </w:t>
      </w:r>
      <w:r>
        <w:t xml:space="preserve">services to be executed in</w:t>
      </w:r>
      <w:r>
        <w:t xml:space="preserve"> </w:t>
      </w:r>
      <w:r>
        <w:t xml:space="preserve">Morocco Casablanca</w:t>
      </w:r>
      <w:r>
        <w:t xml:space="preserve">. This document, once signed, constitutes a binding agreement between the parties.</w:t>
      </w:r>
    </w:p>
    <w:p>
      <w:pPr>
        <w:pStyle w:val="BodyText"/>
      </w:pPr>
      <w:r>
        <w:rPr>
          <w:bCs/>
          <w:b/>
        </w:rPr>
        <w:t xml:space="preserve">Client Signature</w:t>
      </w:r>
      <w:r>
        <w:br/>
      </w:r>
      <w:r>
        <w:t xml:space="preserve">Mr. Youssef El Amrani</w:t>
      </w:r>
      <w:r>
        <w:br/>
      </w:r>
      <w:r>
        <w:t xml:space="preserve">Date: _______________</w:t>
      </w:r>
    </w:p>
    <w:p>
      <w:pPr>
        <w:pStyle w:val="BodyText"/>
      </w:pPr>
      <w:r>
        <w:rPr>
          <w:bCs/>
          <w:b/>
        </w:rPr>
        <w:t xml:space="preserve">Mason Contractor Signature</w:t>
      </w:r>
      <w:r>
        <w:br/>
      </w:r>
      <w:r>
        <w:t xml:space="preserve">Atlas Mason &amp; Construction Services SARL</w:t>
      </w:r>
      <w:r>
        <w:br/>
      </w:r>
      <w:r>
        <w:t xml:space="preserve">Authorized Representative</w:t>
      </w:r>
      <w:r>
        <w:br/>
      </w:r>
      <w:r>
        <w:t xml:space="preserve">Date: _______________</w:t>
      </w:r>
    </w:p>
    <w:p>
      <w:pPr>
        <w:pStyle w:val="BodyText"/>
      </w:pPr>
      <w:r>
        <w:t xml:space="preserve">Quotation Estimate No. QTE-MASON-CAS-2025-0347 | Atlas Mason &amp; Construction Services SARL | Morocco Casablanca</w:t>
      </w:r>
    </w:p>
    <w:p>
      <w:pPr>
        <w:pStyle w:val="BodyText"/>
      </w:pPr>
      <w:r>
        <w:t xml:space="preserve">This document is generated electronically and is valid without a physical stamp. For verification, contact +212 5 22 45 67 89.</w:t>
      </w:r>
    </w:p>
    <w:p>
      <w:pPr>
        <w:pStyle w:val="BodyText"/>
      </w:pPr>
      <w:r>
        <w:t xml:space="preserve">© 2025 Atlas Mason &amp; Construction Services SARL –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Mason Services - Morocco Casablanca</dc:title>
  <dc:creator/>
  <dc:language>en</dc:language>
  <cp:keywords/>
  <dcterms:created xsi:type="dcterms:W3CDTF">2026-10-10T06:24:04Z</dcterms:created>
  <dcterms:modified xsi:type="dcterms:W3CDTF">2026-10-10T06:24:04Z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