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61bac978dc762436bb87434311caa7c55606ecc"/>
    <w:p>
      <w:pPr>
        <w:pStyle w:val="Heading1"/>
      </w:pPr>
      <w:r>
        <w:t xml:space="preserve">Golden Pagoda Masonry &amp; Construction Co., Ltd.</w:t>
      </w:r>
    </w:p>
    <w:p>
      <w:pPr>
        <w:pStyle w:val="FirstParagraph"/>
      </w:pPr>
      <w:r>
        <w:t xml:space="preserve">Plot 47, Bogyoke Avenue, Kyauktada Township, Yangon, Myanmar</w:t>
      </w:r>
    </w:p>
    <w:p>
      <w:pPr>
        <w:pStyle w:val="BodyText"/>
      </w:pPr>
      <w:r>
        <w:t xml:space="preserve">Tel: +95-9-795-123-456 | Email: info@goldenpagodamasonry.com.mm</w:t>
      </w:r>
    </w:p>
    <w:p>
      <w:pPr>
        <w:pStyle w:val="BodyText"/>
      </w:pPr>
      <w:r>
        <w:t xml:space="preserve">Company Reg. No: 20190045678 | TIN: 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QTE-YGN-2025-0847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Myanmar Yangon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U Aung Kyaw Min</w:t>
      </w:r>
    </w:p>
    <w:p>
      <w:pPr>
        <w:pStyle w:val="BodyText"/>
      </w:pPr>
      <w:r>
        <w:rPr>
          <w:bCs/>
          <w:b/>
        </w:rPr>
        <w:t xml:space="preserve">Address:</w:t>
      </w:r>
      <w:r>
        <w:t xml:space="preserve"> </w:t>
      </w:r>
      <w:r>
        <w:t xml:space="preserve">No. 23, 27th Street, Kamayut Township, Yangon</w:t>
      </w:r>
    </w:p>
    <w:p>
      <w:pPr>
        <w:pStyle w:val="BodyText"/>
      </w:pPr>
      <w:r>
        <w:rPr>
          <w:bCs/>
          <w:b/>
        </w:rPr>
        <w:t xml:space="preserve">Contact:</w:t>
      </w:r>
      <w:r>
        <w:t xml:space="preserve"> </w:t>
      </w:r>
      <w:r>
        <w:t xml:space="preserve">+95-9-456-789-012</w:t>
      </w:r>
    </w:p>
    <w:p>
      <w:pPr>
        <w:pStyle w:val="BodyText"/>
      </w:pPr>
      <w:r>
        <w:rPr>
          <w:bCs/>
          <w:b/>
        </w:rPr>
        <w:t xml:space="preserve">Project Type:</w:t>
      </w:r>
      <w:r>
        <w:t xml:space="preserve"> </w:t>
      </w:r>
      <w:r>
        <w:t xml:space="preserve">Residential Masonry Works</w:t>
      </w:r>
    </w:p>
    <w:bookmarkEnd w:id="22"/>
    <w:p>
      <w:pPr>
        <w:pStyle w:val="BodyText"/>
      </w:pPr>
      <w:r>
        <w:t xml:space="preserve">Dear U Aung Kyaw Min,</w:t>
      </w:r>
    </w:p>
    <w:p>
      <w:pPr>
        <w:pStyle w:val="BodyText"/>
      </w:pPr>
      <w:r>
        <w:t xml:space="preserve">Thank you for your inquiry regarding professional</w:t>
      </w:r>
      <w:r>
        <w:t xml:space="preserve"> </w:t>
      </w:r>
      <w:r>
        <w:t xml:space="preserve">Mason</w:t>
      </w:r>
      <w:r>
        <w:t xml:space="preserve"> </w:t>
      </w:r>
      <w:r>
        <w:t xml:space="preserve">services for your residential construction project in</w:t>
      </w:r>
      <w:r>
        <w:t xml:space="preserve"> </w:t>
      </w:r>
      <w:r>
        <w:t xml:space="preserve">Myanmar Yangon</w:t>
      </w:r>
      <w:r>
        <w:t xml:space="preserve">. We are pleased to present this detailed</w:t>
      </w:r>
      <w:r>
        <w:t xml:space="preserve"> </w:t>
      </w:r>
      <w:r>
        <w:t xml:space="preserve">Quotation Estimate</w:t>
      </w:r>
      <w:r>
        <w:t xml:space="preserve"> </w:t>
      </w:r>
      <w:r>
        <w:t xml:space="preserve">outlining the scope of masonry work, material costs, labor charges, and all associated expenses for the completion of your building project. Our team of experienced</w:t>
      </w:r>
      <w:r>
        <w:t xml:space="preserve"> </w:t>
      </w:r>
      <w:r>
        <w:t xml:space="preserve">Mason</w:t>
      </w:r>
      <w:r>
        <w:t xml:space="preserve"> </w:t>
      </w:r>
      <w:r>
        <w:t xml:space="preserve">craftsmen has been serving the</w:t>
      </w:r>
      <w:r>
        <w:t xml:space="preserve"> </w:t>
      </w:r>
      <w:r>
        <w:t xml:space="preserve">Myanmar Yangon</w:t>
      </w:r>
      <w:r>
        <w:t xml:space="preserve"> </w:t>
      </w:r>
      <w:r>
        <w:t xml:space="preserve">construction industry for over fifteen years, delivering quality brickwork, blockwork, plastering, and finishing services to residential and commercial clients across all townships in Yangon.</w:t>
      </w:r>
    </w:p>
    <w:p>
      <w:pPr>
        <w:pStyle w:val="BodyText"/>
      </w:pPr>
      <w:r>
        <w:t xml:space="preserve">Scope of Mason Work</w:t>
      </w:r>
    </w:p>
    <w:p>
      <w:pPr>
        <w:pStyle w:val="BodyText"/>
      </w:pPr>
      <w:r>
        <w:t xml:space="preserve">This</w:t>
      </w:r>
      <w:r>
        <w:t xml:space="preserve"> </w:t>
      </w:r>
      <w:r>
        <w:t xml:space="preserve">Quotation Estimate</w:t>
      </w:r>
      <w:r>
        <w:t xml:space="preserve"> </w:t>
      </w:r>
      <w:r>
        <w:t xml:space="preserve">covers the complete masonry package for a two-storey residential structure measuring approximately 120 square metres per floor. The</w:t>
      </w:r>
      <w:r>
        <w:t xml:space="preserve"> </w:t>
      </w:r>
      <w:r>
        <w:t xml:space="preserve">Mason</w:t>
      </w:r>
      <w:r>
        <w:t xml:space="preserve"> </w:t>
      </w:r>
      <w:r>
        <w:t xml:space="preserve">team will be responsible for all structural and non-structural masonry elements, including but not limited to: foundation wall construction, load-bearing brick walls, partition walls, lintels, sills, window and door frame surrounds, internal and external plastering, and final surface finishing. All work will be executed in strict compliance with the Myanmar Building Code and local Yangon City Development Committee regulations.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Foundation masonry wall (150mm thick, Class A bricks, cement mortar 1:4)</w:t>
            </w:r>
          </w:p>
        </w:tc>
        <w:tc>
          <w:tcPr/>
          <w:p>
            <w:pPr>
              <w:pStyle w:val="Compact"/>
              <w:jc w:val="left"/>
            </w:pPr>
            <w:r>
              <w:t xml:space="preserve">SQM</w:t>
            </w:r>
          </w:p>
        </w:tc>
        <w:tc>
          <w:tcPr/>
          <w:p>
            <w:pPr>
              <w:pStyle w:val="Compact"/>
              <w:jc w:val="left"/>
            </w:pPr>
            <w:r>
              <w:t xml:space="preserve">85</w:t>
            </w:r>
          </w:p>
        </w:tc>
        <w:tc>
          <w:tcPr/>
          <w:p>
            <w:pPr>
              <w:pStyle w:val="Compact"/>
              <w:jc w:val="left"/>
            </w:pPr>
            <w:r>
              <w:t xml:space="preserve">48,500</w:t>
            </w:r>
          </w:p>
        </w:tc>
        <w:tc>
          <w:tcPr/>
          <w:p>
            <w:pPr>
              <w:pStyle w:val="Compact"/>
              <w:jc w:val="left"/>
            </w:pPr>
            <w:r>
              <w:t xml:space="preserve">4,122,500</w:t>
            </w:r>
          </w:p>
        </w:tc>
      </w:tr>
      <w:tr>
        <w:tc>
          <w:tcPr/>
          <w:p>
            <w:pPr>
              <w:pStyle w:val="Compact"/>
              <w:jc w:val="left"/>
            </w:pPr>
            <w:r>
              <w:t xml:space="preserve">2</w:t>
            </w:r>
          </w:p>
        </w:tc>
        <w:tc>
          <w:tcPr/>
          <w:p>
            <w:pPr>
              <w:pStyle w:val="Compact"/>
              <w:jc w:val="left"/>
            </w:pPr>
            <w:r>
              <w:t xml:space="preserve">Ground floor load-bearing brick walls (230mm thick, Class A bricks, mortar 1:5)</w:t>
            </w:r>
          </w:p>
        </w:tc>
        <w:tc>
          <w:tcPr/>
          <w:p>
            <w:pPr>
              <w:pStyle w:val="Compact"/>
              <w:jc w:val="left"/>
            </w:pPr>
            <w:r>
              <w:t xml:space="preserve">SQM</w:t>
            </w:r>
          </w:p>
        </w:tc>
        <w:tc>
          <w:tcPr/>
          <w:p>
            <w:pPr>
              <w:pStyle w:val="Compact"/>
              <w:jc w:val="left"/>
            </w:pPr>
            <w:r>
              <w:t xml:space="preserve">142</w:t>
            </w:r>
          </w:p>
        </w:tc>
        <w:tc>
          <w:tcPr/>
          <w:p>
            <w:pPr>
              <w:pStyle w:val="Compact"/>
              <w:jc w:val="left"/>
            </w:pPr>
            <w:r>
              <w:t xml:space="preserve">52,000</w:t>
            </w:r>
          </w:p>
        </w:tc>
        <w:tc>
          <w:tcPr/>
          <w:p>
            <w:pPr>
              <w:pStyle w:val="Compact"/>
              <w:jc w:val="left"/>
            </w:pPr>
            <w:r>
              <w:t xml:space="preserve">7,384,000</w:t>
            </w:r>
          </w:p>
        </w:tc>
      </w:tr>
      <w:tr>
        <w:tc>
          <w:tcPr/>
          <w:p>
            <w:pPr>
              <w:pStyle w:val="Compact"/>
              <w:jc w:val="left"/>
            </w:pPr>
            <w:r>
              <w:t xml:space="preserve">3</w:t>
            </w:r>
          </w:p>
        </w:tc>
        <w:tc>
          <w:tcPr/>
          <w:p>
            <w:pPr>
              <w:pStyle w:val="Compact"/>
              <w:jc w:val="left"/>
            </w:pPr>
            <w:r>
              <w:t xml:space="preserve">First floor load-bearing brick walls (230mm thick, Class A bricks, mortar 1:5)</w:t>
            </w:r>
          </w:p>
        </w:tc>
        <w:tc>
          <w:tcPr/>
          <w:p>
            <w:pPr>
              <w:pStyle w:val="Compact"/>
              <w:jc w:val="left"/>
            </w:pPr>
            <w:r>
              <w:t xml:space="preserve">SQM</w:t>
            </w:r>
          </w:p>
        </w:tc>
        <w:tc>
          <w:tcPr/>
          <w:p>
            <w:pPr>
              <w:pStyle w:val="Compact"/>
              <w:jc w:val="left"/>
            </w:pPr>
            <w:r>
              <w:t xml:space="preserve">138</w:t>
            </w:r>
          </w:p>
        </w:tc>
        <w:tc>
          <w:tcPr/>
          <w:p>
            <w:pPr>
              <w:pStyle w:val="Compact"/>
              <w:jc w:val="left"/>
            </w:pPr>
            <w:r>
              <w:t xml:space="preserve">52,000</w:t>
            </w:r>
          </w:p>
        </w:tc>
        <w:tc>
          <w:tcPr/>
          <w:p>
            <w:pPr>
              <w:pStyle w:val="Compact"/>
              <w:jc w:val="left"/>
            </w:pPr>
            <w:r>
              <w:t xml:space="preserve">7,176,000</w:t>
            </w:r>
          </w:p>
        </w:tc>
      </w:tr>
      <w:tr>
        <w:tc>
          <w:tcPr/>
          <w:p>
            <w:pPr>
              <w:pStyle w:val="Compact"/>
              <w:jc w:val="left"/>
            </w:pPr>
            <w:r>
              <w:t xml:space="preserve">4</w:t>
            </w:r>
          </w:p>
        </w:tc>
        <w:tc>
          <w:tcPr/>
          <w:p>
            <w:pPr>
              <w:pStyle w:val="Compact"/>
              <w:jc w:val="left"/>
            </w:pPr>
            <w:r>
              <w:t xml:space="preserve">Internal partition walls (115mm thick, Class B bricks, mortar 1:6)</w:t>
            </w:r>
          </w:p>
        </w:tc>
        <w:tc>
          <w:tcPr/>
          <w:p>
            <w:pPr>
              <w:pStyle w:val="Compact"/>
              <w:jc w:val="left"/>
            </w:pPr>
            <w:r>
              <w:t xml:space="preserve">SQM</w:t>
            </w:r>
          </w:p>
        </w:tc>
        <w:tc>
          <w:tcPr/>
          <w:p>
            <w:pPr>
              <w:pStyle w:val="Compact"/>
              <w:jc w:val="left"/>
            </w:pPr>
            <w:r>
              <w:t xml:space="preserve">96</w:t>
            </w:r>
          </w:p>
        </w:tc>
        <w:tc>
          <w:tcPr/>
          <w:p>
            <w:pPr>
              <w:pStyle w:val="Compact"/>
              <w:jc w:val="left"/>
            </w:pPr>
            <w:r>
              <w:t xml:space="preserve">38,500</w:t>
            </w:r>
          </w:p>
        </w:tc>
        <w:tc>
          <w:tcPr/>
          <w:p>
            <w:pPr>
              <w:pStyle w:val="Compact"/>
              <w:jc w:val="left"/>
            </w:pPr>
            <w:r>
              <w:t xml:space="preserve">3,696,000</w:t>
            </w:r>
          </w:p>
        </w:tc>
      </w:tr>
      <w:tr>
        <w:tc>
          <w:tcPr/>
          <w:p>
            <w:pPr>
              <w:pStyle w:val="Compact"/>
              <w:jc w:val="left"/>
            </w:pPr>
            <w:r>
              <w:t xml:space="preserve">5</w:t>
            </w:r>
          </w:p>
        </w:tc>
        <w:tc>
          <w:tcPr/>
          <w:p>
            <w:pPr>
              <w:pStyle w:val="Compact"/>
              <w:jc w:val="left"/>
            </w:pPr>
            <w:r>
              <w:t xml:space="preserve">Concrete lintels and sills (RC, 150x200mm, including formwork)</w:t>
            </w:r>
          </w:p>
        </w:tc>
        <w:tc>
          <w:tcPr/>
          <w:p>
            <w:pPr>
              <w:pStyle w:val="Compact"/>
              <w:jc w:val="left"/>
            </w:pPr>
            <w:r>
              <w:t xml:space="preserve">RM</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6</w:t>
            </w:r>
          </w:p>
        </w:tc>
        <w:tc>
          <w:tcPr/>
          <w:p>
            <w:pPr>
              <w:pStyle w:val="Compact"/>
              <w:jc w:val="left"/>
            </w:pPr>
            <w:r>
              <w:t xml:space="preserve">Internal plastering – both sides (12mm thick, cement mortar 1:4, 2 coats)</w:t>
            </w:r>
          </w:p>
        </w:tc>
        <w:tc>
          <w:tcPr/>
          <w:p>
            <w:pPr>
              <w:pStyle w:val="Compact"/>
              <w:jc w:val="left"/>
            </w:pPr>
            <w:r>
              <w:t xml:space="preserve">SQM</w:t>
            </w:r>
          </w:p>
        </w:tc>
        <w:tc>
          <w:tcPr/>
          <w:p>
            <w:pPr>
              <w:pStyle w:val="Compact"/>
              <w:jc w:val="left"/>
            </w:pPr>
            <w:r>
              <w:t xml:space="preserve">520</w:t>
            </w:r>
          </w:p>
        </w:tc>
        <w:tc>
          <w:tcPr/>
          <w:p>
            <w:pPr>
              <w:pStyle w:val="Compact"/>
              <w:jc w:val="left"/>
            </w:pPr>
            <w:r>
              <w:t xml:space="preserve">28,000</w:t>
            </w:r>
          </w:p>
        </w:tc>
        <w:tc>
          <w:tcPr/>
          <w:p>
            <w:pPr>
              <w:pStyle w:val="Compact"/>
              <w:jc w:val="left"/>
            </w:pPr>
            <w:r>
              <w:t xml:space="preserve">14,560,000</w:t>
            </w:r>
          </w:p>
        </w:tc>
      </w:tr>
      <w:tr>
        <w:tc>
          <w:tcPr/>
          <w:p>
            <w:pPr>
              <w:pStyle w:val="Compact"/>
              <w:jc w:val="left"/>
            </w:pPr>
            <w:r>
              <w:t xml:space="preserve">7</w:t>
            </w:r>
          </w:p>
        </w:tc>
        <w:tc>
          <w:tcPr/>
          <w:p>
            <w:pPr>
              <w:pStyle w:val="Compact"/>
              <w:jc w:val="left"/>
            </w:pPr>
            <w:r>
              <w:t xml:space="preserve">External plastering – weather coat (15mm thick, cement mortar 1:3, 3 coats)</w:t>
            </w:r>
          </w:p>
        </w:tc>
        <w:tc>
          <w:tcPr/>
          <w:p>
            <w:pPr>
              <w:pStyle w:val="Compact"/>
              <w:jc w:val="left"/>
            </w:pPr>
            <w:r>
              <w:t xml:space="preserve">SQM</w:t>
            </w:r>
          </w:p>
        </w:tc>
        <w:tc>
          <w:tcPr/>
          <w:p>
            <w:pPr>
              <w:pStyle w:val="Compact"/>
              <w:jc w:val="left"/>
            </w:pPr>
            <w:r>
              <w:t xml:space="preserve">210</w:t>
            </w:r>
          </w:p>
        </w:tc>
        <w:tc>
          <w:tcPr/>
          <w:p>
            <w:pPr>
              <w:pStyle w:val="Compact"/>
              <w:jc w:val="left"/>
            </w:pPr>
            <w:r>
              <w:t xml:space="preserve">35,000</w:t>
            </w:r>
          </w:p>
        </w:tc>
        <w:tc>
          <w:tcPr/>
          <w:p>
            <w:pPr>
              <w:pStyle w:val="Compact"/>
              <w:jc w:val="left"/>
            </w:pPr>
            <w:r>
              <w:t xml:space="preserve">7,350,000</w:t>
            </w:r>
          </w:p>
        </w:tc>
      </w:tr>
      <w:tr>
        <w:tc>
          <w:tcPr/>
          <w:p>
            <w:pPr>
              <w:pStyle w:val="Compact"/>
              <w:jc w:val="left"/>
            </w:pPr>
            <w:r>
              <w:t xml:space="preserve">8</w:t>
            </w:r>
          </w:p>
        </w:tc>
        <w:tc>
          <w:tcPr/>
          <w:p>
            <w:pPr>
              <w:pStyle w:val="Compact"/>
              <w:jc w:val="left"/>
            </w:pPr>
            <w:r>
              <w:t xml:space="preserve">Brick paving for front yard and side walkway (100x200mm bricks, sand bed)</w:t>
            </w:r>
          </w:p>
        </w:tc>
        <w:tc>
          <w:tcPr/>
          <w:p>
            <w:pPr>
              <w:pStyle w:val="Compact"/>
              <w:jc w:val="left"/>
            </w:pPr>
            <w:r>
              <w:t xml:space="preserve">SQM</w:t>
            </w:r>
          </w:p>
        </w:tc>
        <w:tc>
          <w:tcPr/>
          <w:p>
            <w:pPr>
              <w:pStyle w:val="Compact"/>
              <w:jc w:val="left"/>
            </w:pPr>
            <w:r>
              <w:t xml:space="preserve">65</w:t>
            </w:r>
          </w:p>
        </w:tc>
        <w:tc>
          <w:tcPr/>
          <w:p>
            <w:pPr>
              <w:pStyle w:val="Compact"/>
              <w:jc w:val="left"/>
            </w:pPr>
            <w:r>
              <w:t xml:space="preserve">42,000</w:t>
            </w:r>
          </w:p>
        </w:tc>
        <w:tc>
          <w:tcPr/>
          <w:p>
            <w:pPr>
              <w:pStyle w:val="Compact"/>
              <w:jc w:val="left"/>
            </w:pPr>
            <w:r>
              <w:t xml:space="preserve">2,730,000</w:t>
            </w:r>
          </w:p>
        </w:tc>
      </w:tr>
      <w:tr>
        <w:tc>
          <w:tcPr/>
          <w:p>
            <w:pPr>
              <w:pStyle w:val="Compact"/>
              <w:jc w:val="left"/>
            </w:pPr>
            <w:r>
              <w:t xml:space="preserve">9</w:t>
            </w:r>
          </w:p>
        </w:tc>
        <w:tc>
          <w:tcPr/>
          <w:p>
            <w:pPr>
              <w:pStyle w:val="Compact"/>
              <w:jc w:val="left"/>
            </w:pPr>
            <w:r>
              <w:t xml:space="preserve">Skirting and dado tiling (ceramic, 800x800mm, including adhesive and grout)</w:t>
            </w:r>
          </w:p>
        </w:tc>
        <w:tc>
          <w:tcPr/>
          <w:p>
            <w:pPr>
              <w:pStyle w:val="Compact"/>
              <w:jc w:val="left"/>
            </w:pPr>
            <w:r>
              <w:t xml:space="preserve">SQM</w:t>
            </w:r>
          </w:p>
        </w:tc>
        <w:tc>
          <w:tcPr/>
          <w:p>
            <w:pPr>
              <w:pStyle w:val="Compact"/>
              <w:jc w:val="left"/>
            </w:pPr>
            <w:r>
              <w:t xml:space="preserve">88</w:t>
            </w:r>
          </w:p>
        </w:tc>
        <w:tc>
          <w:tcPr/>
          <w:p>
            <w:pPr>
              <w:pStyle w:val="Compact"/>
              <w:jc w:val="left"/>
            </w:pPr>
            <w:r>
              <w:t xml:space="preserve">55,000</w:t>
            </w:r>
          </w:p>
        </w:tc>
        <w:tc>
          <w:tcPr/>
          <w:p>
            <w:pPr>
              <w:pStyle w:val="Compact"/>
              <w:jc w:val="left"/>
            </w:pPr>
            <w:r>
              <w:t xml:space="preserve">4,840,000</w:t>
            </w:r>
          </w:p>
        </w:tc>
      </w:tr>
      <w:tr>
        <w:tc>
          <w:tcPr/>
          <w:p>
            <w:pPr>
              <w:pStyle w:val="Compact"/>
              <w:jc w:val="left"/>
            </w:pPr>
            <w:r>
              <w:t xml:space="preserve">10</w:t>
            </w:r>
          </w:p>
        </w:tc>
        <w:tc>
          <w:tcPr/>
          <w:p>
            <w:pPr>
              <w:pStyle w:val="Compact"/>
              <w:jc w:val="left"/>
            </w:pPr>
            <w:r>
              <w:t xml:space="preserve">Site supervision, quality inspection, and project management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11</w:t>
            </w:r>
          </w:p>
        </w:tc>
        <w:tc>
          <w:tcPr/>
          <w:p>
            <w:pPr>
              <w:pStyle w:val="Compact"/>
              <w:jc w:val="left"/>
            </w:pPr>
            <w:r>
              <w:t xml:space="preserve">Material transportation within Yangon city limits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12</w:t>
            </w:r>
          </w:p>
        </w:tc>
        <w:tc>
          <w:tcPr/>
          <w:p>
            <w:pPr>
              <w:pStyle w:val="Compact"/>
              <w:jc w:val="left"/>
            </w:pPr>
            <w:r>
              <w:t xml:space="preserve">Scaffolding, formwork, and temporary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 (MMK)</w:t>
            </w:r>
          </w:p>
        </w:tc>
        <w:tc>
          <w:tcPr/>
          <w:p>
            <w:pPr>
              <w:pStyle w:val="Compact"/>
              <w:jc w:val="left"/>
            </w:pPr>
            <w:r>
              <w:t xml:space="preserve">57,294,500</w:t>
            </w:r>
          </w:p>
        </w:tc>
      </w:tr>
      <w:tr>
        <w:tc>
          <w:tcPr>
            <w:gridSpan w:val="5"/>
          </w:tcPr>
          <w:p>
            <w:pPr>
              <w:pStyle w:val="Compact"/>
              <w:jc w:val="right"/>
            </w:pPr>
            <w:r>
              <w:t xml:space="preserve">VAT (5%)</w:t>
            </w:r>
          </w:p>
        </w:tc>
        <w:tc>
          <w:tcPr/>
          <w:p>
            <w:pPr>
              <w:pStyle w:val="Compact"/>
              <w:jc w:val="left"/>
            </w:pPr>
            <w:r>
              <w:t xml:space="preserve">2,864,725</w:t>
            </w:r>
          </w:p>
        </w:tc>
      </w:tr>
      <w:tr>
        <w:tc>
          <w:tcPr>
            <w:gridSpan w:val="5"/>
          </w:tcPr>
          <w:p>
            <w:pPr>
              <w:pStyle w:val="Compact"/>
              <w:jc w:val="right"/>
            </w:pPr>
            <w:r>
              <w:t xml:space="preserve">GRAND TOTAL (MMK)</w:t>
            </w:r>
          </w:p>
        </w:tc>
        <w:tc>
          <w:tcPr/>
          <w:p>
            <w:pPr>
              <w:pStyle w:val="Compact"/>
              <w:jc w:val="left"/>
            </w:pPr>
            <w:r>
              <w:t xml:space="preserve">60,159,225</w:t>
            </w:r>
          </w:p>
        </w:tc>
      </w:tr>
    </w:tbl>
    <w:p>
      <w:pPr>
        <w:pStyle w:val="BodyText"/>
      </w:pPr>
      <w:r>
        <w:rPr>
          <w:bCs/>
          <w:b/>
        </w:rPr>
        <w:t xml:space="preserve">Grand Total in words:</w:t>
      </w:r>
      <w:r>
        <w:t xml:space="preserve"> </w:t>
      </w:r>
      <w:r>
        <w:t xml:space="preserve">Sixty Million One Hundred Fifty-Nine Thousand Two Hundred Twenty-Five Myanmar Kyats only.</w:t>
      </w:r>
    </w:p>
    <w:p>
      <w:pPr>
        <w:pStyle w:val="BodyText"/>
      </w:pPr>
      <w:r>
        <w:t xml:space="preserve">Payment Terms</w:t>
      </w:r>
    </w:p>
    <w:p>
      <w:pPr>
        <w:pStyle w:val="BodyText"/>
      </w:pPr>
      <w:r>
        <w:rPr>
          <w:bCs/>
          <w:b/>
        </w:rPr>
        <w:t xml:space="preserve">Advance Payment (30%):</w:t>
      </w:r>
      <w:r>
        <w:t xml:space="preserve"> </w:t>
      </w:r>
      <w:r>
        <w:t xml:space="preserve">MMK 18,047,768 – Due upon signing of this Quotation Estimate and commencement of work.</w:t>
      </w:r>
    </w:p>
    <w:p>
      <w:pPr>
        <w:pStyle w:val="BodyText"/>
      </w:pPr>
      <w:r>
        <w:rPr>
          <w:bCs/>
          <w:b/>
        </w:rPr>
        <w:t xml:space="preserve">Progress Payment 1 (25%):</w:t>
      </w:r>
      <w:r>
        <w:t xml:space="preserve"> </w:t>
      </w:r>
      <w:r>
        <w:t xml:space="preserve">MMK 15,039,806 – Due upon completion of ground floor masonry and plastering.</w:t>
      </w:r>
    </w:p>
    <w:p>
      <w:pPr>
        <w:pStyle w:val="BodyText"/>
      </w:pPr>
      <w:r>
        <w:rPr>
          <w:bCs/>
          <w:b/>
        </w:rPr>
        <w:t xml:space="preserve">Progress Payment 2 (25%):</w:t>
      </w:r>
      <w:r>
        <w:t xml:space="preserve"> </w:t>
      </w:r>
      <w:r>
        <w:t xml:space="preserve">MMK 15,039,806 – Due upon completion of first floor masonry and plastering.</w:t>
      </w:r>
    </w:p>
    <w:p>
      <w:pPr>
        <w:pStyle w:val="BodyText"/>
      </w:pPr>
      <w:r>
        <w:rPr>
          <w:bCs/>
          <w:b/>
        </w:rPr>
        <w:t xml:space="preserve">Final Payment (20%):</w:t>
      </w:r>
      <w:r>
        <w:t xml:space="preserve"> </w:t>
      </w:r>
      <w:r>
        <w:t xml:space="preserve">MMK 12,031,845 – Due upon final inspection, snag list clearance, and handover.</w:t>
      </w:r>
    </w:p>
    <w:p>
      <w:pPr>
        <w:pStyle w:val="BodyText"/>
      </w:pPr>
      <w:r>
        <w:t xml:space="preserve">All payments shall be made via bank transfer to Golden Pagoda Masonry &amp; Construction Co., Ltd., CB Bank, Yangon Branch, Account No. 001-2345-6789. Payment is due within seven (7) calendar days of the respective milestone invoice.</w:t>
      </w:r>
    </w:p>
    <w:p>
      <w:pPr>
        <w:pStyle w:val="BodyText"/>
      </w:pPr>
      <w:r>
        <w:t xml:space="preserve">Project Timeline</w:t>
      </w:r>
    </w:p>
    <w:p>
      <w:pPr>
        <w:pStyle w:val="BodyText"/>
      </w:pPr>
      <w:r>
        <w:t xml:space="preserve">The estimated duration for completion of all</w:t>
      </w:r>
      <w:r>
        <w:t xml:space="preserve"> </w:t>
      </w:r>
      <w:r>
        <w:t xml:space="preserve">Mason</w:t>
      </w:r>
      <w:r>
        <w:t xml:space="preserve"> </w:t>
      </w:r>
      <w:r>
        <w:t xml:space="preserve">works outlined in this</w:t>
      </w:r>
      <w:r>
        <w:t xml:space="preserve"> </w:t>
      </w:r>
      <w:r>
        <w:t xml:space="preserve">Quotation Estimate</w:t>
      </w:r>
      <w:r>
        <w:t xml:space="preserve"> </w:t>
      </w:r>
      <w:r>
        <w:t xml:space="preserve">is</w:t>
      </w:r>
      <w:r>
        <w:t xml:space="preserve"> </w:t>
      </w:r>
      <w:r>
        <w:rPr>
          <w:bCs/>
          <w:b/>
        </w:rPr>
        <w:t xml:space="preserve">twelve (12) weeks</w:t>
      </w:r>
      <w:r>
        <w:t xml:space="preserve"> </w:t>
      </w:r>
      <w:r>
        <w:t xml:space="preserve">from the date of site mobilization, subject to weather conditions and timely availability of materials in the</w:t>
      </w:r>
      <w:r>
        <w:t xml:space="preserve"> </w:t>
      </w:r>
      <w:r>
        <w:t xml:space="preserve">Myanmar Yangon</w:t>
      </w:r>
      <w:r>
        <w:t xml:space="preserve"> </w:t>
      </w:r>
      <w:r>
        <w:t xml:space="preserve">market. The project schedule will be confirmed in writing upon receipt of the advance payment. Delays caused by force majeure events, including but not limited to monsoon flooding in Yangon, government-mandated work stoppages, or material supply disruptions, will be excluded from the timeline and communicated in writing to the client.</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days from the date of issue. Prices are subject to revision based on fluctuations in the cost of cement, bricks, and aggregate in the</w:t>
      </w:r>
      <w:r>
        <w:t xml:space="preserve"> </w:t>
      </w:r>
      <w:r>
        <w:t xml:space="preserve">Myanmar Yangon</w:t>
      </w:r>
      <w:r>
        <w:t xml:space="preserve"> </w:t>
      </w:r>
      <w:r>
        <w:t xml:space="preserve">construction market beyond a 10% variance.</w:t>
      </w:r>
    </w:p>
    <w:p>
      <w:pPr>
        <w:pStyle w:val="BodyText"/>
      </w:pPr>
      <w:r>
        <w:t xml:space="preserve">2. All</w:t>
      </w:r>
      <w:r>
        <w:t xml:space="preserve"> </w:t>
      </w:r>
      <w:r>
        <w:t xml:space="preserve">Mason</w:t>
      </w:r>
      <w:r>
        <w:t xml:space="preserve"> </w:t>
      </w:r>
      <w:r>
        <w:t xml:space="preserve">work shall be performed by skilled and certified masonry workers under the direct supervision of a licensed site engineer. Workmanship warranty is provided for a period of two (2) years from the date of final handover.</w:t>
      </w:r>
    </w:p>
    <w:p>
      <w:pPr>
        <w:pStyle w:val="BodyText"/>
      </w:pPr>
      <w:r>
        <w:t xml:space="preserve">3. The client is responsible for obtaining all necessary building permits, planning approvals, and utility connections from the Yangon City Development Committee and relevant authorities prior to commencement of masonry work.</w:t>
      </w:r>
    </w:p>
    <w:p>
      <w:pPr>
        <w:pStyle w:val="BodyText"/>
      </w:pPr>
      <w:r>
        <w:t xml:space="preserve">4. Any additional or variation work not included in this</w:t>
      </w:r>
      <w:r>
        <w:t xml:space="preserve"> </w:t>
      </w:r>
      <w:r>
        <w:t xml:space="preserve">Quotation Estimate</w:t>
      </w:r>
      <w:r>
        <w:t xml:space="preserve"> </w:t>
      </w:r>
      <w:r>
        <w:t xml:space="preserve">shall be subject to a separate written amendment and additional cost approval by both parties before execution.</w:t>
      </w:r>
    </w:p>
    <w:p>
      <w:pPr>
        <w:pStyle w:val="BodyText"/>
      </w:pPr>
      <w:r>
        <w:t xml:space="preserve">5. The</w:t>
      </w:r>
      <w:r>
        <w:t xml:space="preserve"> </w:t>
      </w:r>
      <w:r>
        <w:t xml:space="preserve">Mason</w:t>
      </w:r>
      <w:r>
        <w:t xml:space="preserve"> </w:t>
      </w:r>
      <w:r>
        <w:t xml:space="preserve">team shall maintain a clean and safe work site in accordance with Myanmar Occupational Safety and Health regulations. The contractor shall carry comprehensive public liability insurance for the duration of the project.</w:t>
      </w:r>
    </w:p>
    <w:p>
      <w:pPr>
        <w:pStyle w:val="BodyText"/>
      </w:pPr>
      <w:r>
        <w:t xml:space="preserve">6. Disputes arising from this agreement shall be resolved through amicable negotiation. In the event of unresolved disputes, the matter shall be referred to arbitration under the Myanmar Arbitration Law, with the seat of arbitration in Yangon, Myanmar.</w:t>
      </w:r>
    </w:p>
    <w:p>
      <w:pPr>
        <w:pStyle w:val="BodyText"/>
      </w:pPr>
      <w:r>
        <w:t xml:space="preserve">7. This</w:t>
      </w:r>
      <w:r>
        <w:t xml:space="preserve"> </w:t>
      </w:r>
      <w:r>
        <w:t xml:space="preserve">Quotation Estimate</w:t>
      </w:r>
      <w:r>
        <w:t xml:space="preserve"> </w:t>
      </w:r>
      <w:r>
        <w:t xml:space="preserve">does not constitute a binding contract until both parties have signed and exchanged copies. Upon mutual acceptance, it shall serve as the governing document for the masonry works described herein.</w:t>
      </w:r>
    </w:p>
    <w:p>
      <w:pPr>
        <w:pStyle w:val="BodyText"/>
      </w:pPr>
      <w:r>
        <w:rPr>
          <w:bCs/>
          <w:b/>
        </w:rPr>
        <w:t xml:space="preserve">For and on behalf of</w:t>
      </w:r>
      <w:r>
        <w:br/>
      </w:r>
      <w:r>
        <w:t xml:space="preserve">Golden Pagoda Masonry &amp; Construction Co., Ltd.</w:t>
      </w:r>
      <w:r>
        <w:br/>
      </w:r>
      <w:r>
        <w:t xml:space="preserve">(Mason Services Provider)</w:t>
      </w:r>
      <w:r>
        <w:br/>
      </w:r>
      <w:r>
        <w:br/>
      </w:r>
      <w:r>
        <w:t xml:space="preserve">Name: _________________________</w:t>
      </w:r>
      <w:r>
        <w:br/>
      </w:r>
      <w:r>
        <w:t xml:space="preserve">Designation: Project Director</w:t>
      </w:r>
      <w:r>
        <w:br/>
      </w:r>
      <w:r>
        <w:t xml:space="preserve">Date: _________________________</w:t>
      </w:r>
    </w:p>
    <w:p>
      <w:pPr>
        <w:pStyle w:val="BodyText"/>
      </w:pPr>
      <w:r>
        <w:rPr>
          <w:bCs/>
          <w:b/>
        </w:rPr>
        <w:t xml:space="preserve">Client Acceptance</w:t>
      </w:r>
      <w:r>
        <w:br/>
      </w:r>
      <w:r>
        <w:t xml:space="preserve">U Aung Kyaw Min</w:t>
      </w:r>
      <w:r>
        <w:br/>
      </w:r>
      <w:r>
        <w:t xml:space="preserve">(Project Owner)</w:t>
      </w:r>
      <w:r>
        <w:br/>
      </w:r>
      <w:r>
        <w:br/>
      </w:r>
      <w:r>
        <w:t xml:space="preserve">Name: _________________________</w:t>
      </w:r>
      <w:r>
        <w:br/>
      </w:r>
      <w:r>
        <w:t xml:space="preserve">Signature: _________________________</w:t>
      </w:r>
      <w:r>
        <w:br/>
      </w:r>
      <w:r>
        <w:t xml:space="preserve">Date: _________________________</w:t>
      </w:r>
    </w:p>
    <w:p>
      <w:pPr>
        <w:pStyle w:val="BodyText"/>
      </w:pPr>
      <w:r>
        <w:t xml:space="preserve">Golden Pagoda Masonry &amp; Construction Co., Ltd. | Plot 47, Bogyoke Avenue, Kyauktada Township, Yangon, Myanmar</w:t>
      </w:r>
    </w:p>
    <w:p>
      <w:pPr>
        <w:pStyle w:val="BodyText"/>
      </w:pPr>
      <w:r>
        <w:t xml:space="preserve">This Quotation Estimate is issued for the exclusive use of the named client in Myanmar Yangon. Unauthorized reproduction or distribution is prohibited.</w:t>
      </w:r>
    </w:p>
    <w:p>
      <w:pPr>
        <w:pStyle w:val="BodyText"/>
      </w:pPr>
      <w:r>
        <w:t xml:space="preserve">Document Ref: QTE-YGN-2025-0847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Myanmar Yangon</dc:title>
  <dc:creator/>
  <dc:language>en</dc:language>
  <cp:keywords/>
  <dcterms:created xsi:type="dcterms:W3CDTF">2026-10-10T03:28:45Z</dcterms:created>
  <dcterms:modified xsi:type="dcterms:W3CDTF">2026-10-10T03:28:45Z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