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Mason &amp; Masonry Services</w:t>
      </w:r>
    </w:p>
    <w:p>
      <w:pPr>
        <w:pStyle w:val="BodyText"/>
      </w:pPr>
      <w:r>
        <w:t xml:space="preserve">Abuja, FCT, Nigeria</w:t>
      </w:r>
    </w:p>
    <w:p>
      <w:pPr>
        <w:pStyle w:val="BodyText"/>
      </w:pPr>
      <w:r>
        <w:t xml:space="preserve">Document Reference: QE-ABJ-2025-0472</w:t>
      </w:r>
    </w:p>
    <w:bookmarkEnd w:id="20"/>
    <w:p>
      <w:pPr>
        <w:pStyle w:val="BodyText"/>
      </w:pPr>
      <w:r>
        <w:rPr>
          <w:bCs/>
          <w:b/>
        </w:rPr>
        <w:t xml:space="preserve">Prepared By:</w:t>
      </w:r>
      <w:r>
        <w:br/>
      </w:r>
      <w:r>
        <w:t xml:space="preserve">Apex Mason &amp; Construction Ltd.</w:t>
      </w:r>
      <w:r>
        <w:br/>
      </w:r>
      <w:r>
        <w:t xml:space="preserve">Plot 14, Gwarinpa Industrial Area</w:t>
      </w:r>
      <w:r>
        <w:br/>
      </w:r>
      <w:r>
        <w:t xml:space="preserve">Abuja, FCT, Nigeria</w:t>
      </w:r>
      <w:r>
        <w:br/>
      </w:r>
      <w:r>
        <w:t xml:space="preserve">Tel: +234 803 555 0192</w:t>
      </w:r>
      <w:r>
        <w:br/>
      </w:r>
      <w:r>
        <w:t xml:space="preserve">Email: quotes@apexmasonng.com</w:t>
      </w:r>
    </w:p>
    <w:p>
      <w:pPr>
        <w:pStyle w:val="BodyText"/>
      </w:pPr>
      <w:r>
        <w:rPr>
          <w:bCs/>
          <w:b/>
        </w:rPr>
        <w:t xml:space="preserve">Prepared For:</w:t>
      </w:r>
      <w:r>
        <w:br/>
      </w:r>
      <w:r>
        <w:t xml:space="preserve">Mr. Chukwuma Okafor</w:t>
      </w:r>
      <w:r>
        <w:br/>
      </w:r>
      <w:r>
        <w:t xml:space="preserve">22, Asokoro Close, Zone 6</w:t>
      </w:r>
      <w:r>
        <w:br/>
      </w:r>
      <w:r>
        <w:t xml:space="preserve">Abuja, FCT, Nigeria</w:t>
      </w:r>
      <w:r>
        <w:br/>
      </w:r>
      <w:r>
        <w:t xml:space="preserve">Tel: +234 812 774 3356</w:t>
      </w:r>
      <w:r>
        <w:br/>
      </w:r>
      <w:r>
        <w:t xml:space="preserve">Email: c.okafor@gmail.com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QE-ABJ-2025-0472</w:t>
            </w:r>
          </w:p>
        </w:tc>
        <w:tc>
          <w:tcPr/>
          <w:p>
            <w:pPr>
              <w:pStyle w:val="Compact"/>
              <w:jc w:val="left"/>
            </w:pPr>
            <w:r>
              <w:rPr>
                <w:bCs/>
                <w:b/>
              </w:rPr>
              <w:t xml:space="preserve">Date Issued:</w:t>
            </w:r>
          </w:p>
        </w:tc>
        <w:tc>
          <w:tcPr/>
          <w:p>
            <w:pPr>
              <w:pStyle w:val="Compact"/>
              <w:jc w:val="left"/>
            </w:pPr>
            <w:r>
              <w:t xml:space="preserve">12 June 2025</w:t>
            </w:r>
          </w:p>
        </w:tc>
      </w:tr>
      <w:tr>
        <w:tc>
          <w:tcPr/>
          <w:p>
            <w:pPr>
              <w:pStyle w:val="Compact"/>
              <w:jc w:val="left"/>
            </w:pPr>
            <w:r>
              <w:rPr>
                <w:bCs/>
                <w:b/>
              </w:rPr>
              <w:t xml:space="preserve">Project Location:</w:t>
            </w:r>
          </w:p>
        </w:tc>
        <w:tc>
          <w:tcPr/>
          <w:p>
            <w:pPr>
              <w:pStyle w:val="Compact"/>
              <w:jc w:val="left"/>
            </w:pPr>
            <w:r>
              <w:t xml:space="preserve">Asokoro, Abuja, FCT, Nigeria</w:t>
            </w:r>
          </w:p>
        </w:tc>
        <w:tc>
          <w:tcPr/>
          <w:p>
            <w:pPr>
              <w:pStyle w:val="Compact"/>
              <w:jc w:val="left"/>
            </w:pPr>
            <w:r>
              <w:rPr>
                <w:bCs/>
                <w:b/>
              </w:rPr>
              <w:t xml:space="preserve">Validity Period:</w:t>
            </w:r>
          </w:p>
        </w:tc>
        <w:tc>
          <w:tcPr/>
          <w:p>
            <w:pPr>
              <w:pStyle w:val="Compact"/>
              <w:jc w:val="left"/>
            </w:pPr>
            <w:r>
              <w:t xml:space="preserve">30 Days from Issue Date</w:t>
            </w:r>
          </w:p>
        </w:tc>
      </w:tr>
      <w:tr>
        <w:tc>
          <w:tcPr/>
          <w:p>
            <w:pPr>
              <w:pStyle w:val="Compact"/>
              <w:jc w:val="left"/>
            </w:pPr>
            <w:r>
              <w:rPr>
                <w:bCs/>
                <w:b/>
              </w:rPr>
              <w:t xml:space="preserve">Project Type:</w:t>
            </w:r>
          </w:p>
        </w:tc>
        <w:tc>
          <w:tcPr/>
          <w:p>
            <w:pPr>
              <w:pStyle w:val="Compact"/>
              <w:jc w:val="left"/>
            </w:pPr>
            <w:r>
              <w:t xml:space="preserve">Residential Mason &amp; Masonry Works</w:t>
            </w:r>
          </w:p>
        </w:tc>
        <w:tc>
          <w:tcPr/>
          <w:p>
            <w:pPr>
              <w:pStyle w:val="Compact"/>
              <w:jc w:val="left"/>
            </w:pPr>
            <w:r>
              <w:rPr>
                <w:bCs/>
                <w:b/>
              </w:rPr>
              <w:t xml:space="preserve">Estimated Duration:</w:t>
            </w:r>
          </w:p>
        </w:tc>
        <w:tc>
          <w:tcPr/>
          <w:p>
            <w:pPr>
              <w:pStyle w:val="Compact"/>
              <w:jc w:val="left"/>
            </w:pPr>
            <w:r>
              <w:t xml:space="preserve">14 Working Days</w:t>
            </w:r>
          </w:p>
        </w:tc>
      </w:tr>
    </w:tbl>
    <w:p>
      <w:pPr>
        <w:pStyle w:val="BodyText"/>
      </w:pPr>
      <w:r>
        <w:t xml:space="preserve">Scope of Work – Mason Services in Nigeria Abuja</w:t>
      </w:r>
    </w:p>
    <w:p>
      <w:pPr>
        <w:pStyle w:val="BodyText"/>
      </w:pPr>
      <w:r>
        <w:t xml:space="preserve">This</w:t>
      </w:r>
      <w:r>
        <w:t xml:space="preserve"> </w:t>
      </w:r>
      <w:r>
        <w:t xml:space="preserve">Quotation Estimate</w:t>
      </w:r>
      <w:r>
        <w:t xml:space="preserve"> </w:t>
      </w:r>
      <w:r>
        <w:t xml:space="preserve">is issued by Apex Mason &amp; Construction Ltd. to provide a comprehensive cost breakdown for professional</w:t>
      </w:r>
      <w:r>
        <w:t xml:space="preserve"> </w:t>
      </w:r>
      <w:r>
        <w:t xml:space="preserve">Mason</w:t>
      </w:r>
      <w:r>
        <w:t xml:space="preserve"> </w:t>
      </w:r>
      <w:r>
        <w:t xml:space="preserve">and masonry services to be executed at the client's residential property located in Asokoro,</w:t>
      </w:r>
      <w:r>
        <w:t xml:space="preserve"> </w:t>
      </w:r>
      <w:r>
        <w:t xml:space="preserve">Nigeria Abuja</w:t>
      </w:r>
      <w:r>
        <w:t xml:space="preserve">. The scope encompasses all masonry-related tasks including but not limited to block laying, plastering, tiling, and structural finishing works. Our team of certified</w:t>
      </w:r>
      <w:r>
        <w:t xml:space="preserve"> </w:t>
      </w:r>
      <w:r>
        <w:t xml:space="preserve">Mason</w:t>
      </w:r>
      <w:r>
        <w:t xml:space="preserve"> </w:t>
      </w:r>
      <w:r>
        <w:t xml:space="preserve">professionals will ensure that all work meets the Nigerian Building and Road Works Corporation (NABRDC) standards applicable in the Federal Capital Territory.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Supply and laying of 6-inch concrete blocks for external walls (Mason work)</w:t>
            </w:r>
          </w:p>
        </w:tc>
        <w:tc>
          <w:tcPr/>
          <w:p>
            <w:pPr>
              <w:pStyle w:val="Compact"/>
              <w:jc w:val="left"/>
            </w:pPr>
            <w:r>
              <w:t xml:space="preserve">m²</w:t>
            </w:r>
          </w:p>
        </w:tc>
        <w:tc>
          <w:tcPr/>
          <w:p>
            <w:pPr>
              <w:pStyle w:val="Compact"/>
              <w:jc w:val="left"/>
            </w:pPr>
            <w:r>
              <w:t xml:space="preserve">185</w:t>
            </w:r>
          </w:p>
        </w:tc>
        <w:tc>
          <w:tcPr/>
          <w:p>
            <w:pPr>
              <w:pStyle w:val="Compact"/>
              <w:jc w:val="left"/>
            </w:pPr>
            <w:r>
              <w:t xml:space="preserve">12,500</w:t>
            </w:r>
          </w:p>
        </w:tc>
        <w:tc>
          <w:tcPr/>
          <w:p>
            <w:pPr>
              <w:pStyle w:val="Compact"/>
              <w:jc w:val="left"/>
            </w:pPr>
            <w:r>
              <w:t xml:space="preserve">2,312,500</w:t>
            </w:r>
          </w:p>
        </w:tc>
      </w:tr>
      <w:tr>
        <w:tc>
          <w:tcPr/>
          <w:p>
            <w:pPr>
              <w:pStyle w:val="Compact"/>
              <w:jc w:val="left"/>
            </w:pPr>
            <w:r>
              <w:t xml:space="preserve">2</w:t>
            </w:r>
          </w:p>
        </w:tc>
        <w:tc>
          <w:tcPr/>
          <w:p>
            <w:pPr>
              <w:pStyle w:val="Compact"/>
              <w:jc w:val="left"/>
            </w:pPr>
            <w:r>
              <w:t xml:space="preserve">Supply and laying of 4-inch concrete blocks for internal partition walls</w:t>
            </w:r>
          </w:p>
        </w:tc>
        <w:tc>
          <w:tcPr/>
          <w:p>
            <w:pPr>
              <w:pStyle w:val="Compact"/>
              <w:jc w:val="left"/>
            </w:pPr>
            <w:r>
              <w:t xml:space="preserve">m²</w:t>
            </w:r>
          </w:p>
        </w:tc>
        <w:tc>
          <w:tcPr/>
          <w:p>
            <w:pPr>
              <w:pStyle w:val="Compact"/>
              <w:jc w:val="left"/>
            </w:pPr>
            <w:r>
              <w:t xml:space="preserve">120</w:t>
            </w:r>
          </w:p>
        </w:tc>
        <w:tc>
          <w:tcPr/>
          <w:p>
            <w:pPr>
              <w:pStyle w:val="Compact"/>
              <w:jc w:val="left"/>
            </w:pPr>
            <w:r>
              <w:t xml:space="preserve">9,800</w:t>
            </w:r>
          </w:p>
        </w:tc>
        <w:tc>
          <w:tcPr/>
          <w:p>
            <w:pPr>
              <w:pStyle w:val="Compact"/>
              <w:jc w:val="left"/>
            </w:pPr>
            <w:r>
              <w:t xml:space="preserve">1,176,000</w:t>
            </w:r>
          </w:p>
        </w:tc>
      </w:tr>
      <w:tr>
        <w:tc>
          <w:tcPr/>
          <w:p>
            <w:pPr>
              <w:pStyle w:val="Compact"/>
              <w:jc w:val="left"/>
            </w:pPr>
            <w:r>
              <w:t xml:space="preserve">3</w:t>
            </w:r>
          </w:p>
        </w:tc>
        <w:tc>
          <w:tcPr/>
          <w:p>
            <w:pPr>
              <w:pStyle w:val="Compact"/>
              <w:jc w:val="left"/>
            </w:pPr>
            <w:r>
              <w:t xml:space="preserve">External plastering (two coats) by certified Mason team</w:t>
            </w:r>
          </w:p>
        </w:tc>
        <w:tc>
          <w:tcPr/>
          <w:p>
            <w:pPr>
              <w:pStyle w:val="Compact"/>
              <w:jc w:val="left"/>
            </w:pPr>
            <w:r>
              <w:t xml:space="preserve">m²</w:t>
            </w:r>
          </w:p>
        </w:tc>
        <w:tc>
          <w:tcPr/>
          <w:p>
            <w:pPr>
              <w:pStyle w:val="Compact"/>
              <w:jc w:val="left"/>
            </w:pPr>
            <w:r>
              <w:t xml:space="preserve">185</w:t>
            </w:r>
          </w:p>
        </w:tc>
        <w:tc>
          <w:tcPr/>
          <w:p>
            <w:pPr>
              <w:pStyle w:val="Compact"/>
              <w:jc w:val="left"/>
            </w:pPr>
            <w:r>
              <w:t xml:space="preserve">7,200</w:t>
            </w:r>
          </w:p>
        </w:tc>
        <w:tc>
          <w:tcPr/>
          <w:p>
            <w:pPr>
              <w:pStyle w:val="Compact"/>
              <w:jc w:val="left"/>
            </w:pPr>
            <w:r>
              <w:t xml:space="preserve">1,332,000</w:t>
            </w:r>
          </w:p>
        </w:tc>
      </w:tr>
      <w:tr>
        <w:tc>
          <w:tcPr/>
          <w:p>
            <w:pPr>
              <w:pStyle w:val="Compact"/>
              <w:jc w:val="left"/>
            </w:pPr>
            <w:r>
              <w:t xml:space="preserve">4</w:t>
            </w:r>
          </w:p>
        </w:tc>
        <w:tc>
          <w:tcPr/>
          <w:p>
            <w:pPr>
              <w:pStyle w:val="Compact"/>
              <w:jc w:val="left"/>
            </w:pPr>
            <w:r>
              <w:t xml:space="preserve">Internal plastering (two coats) including skimming</w:t>
            </w:r>
          </w:p>
        </w:tc>
        <w:tc>
          <w:tcPr/>
          <w:p>
            <w:pPr>
              <w:pStyle w:val="Compact"/>
              <w:jc w:val="left"/>
            </w:pPr>
            <w:r>
              <w:t xml:space="preserve">m²</w:t>
            </w:r>
          </w:p>
        </w:tc>
        <w:tc>
          <w:tcPr/>
          <w:p>
            <w:pPr>
              <w:pStyle w:val="Compact"/>
              <w:jc w:val="left"/>
            </w:pPr>
            <w:r>
              <w:t xml:space="preserve">240</w:t>
            </w:r>
          </w:p>
        </w:tc>
        <w:tc>
          <w:tcPr/>
          <w:p>
            <w:pPr>
              <w:pStyle w:val="Compact"/>
              <w:jc w:val="left"/>
            </w:pPr>
            <w:r>
              <w:t xml:space="preserve">5,500</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Ceramic floor tiling (60cm x 60cm) – living room, kitchen, and 3 bedrooms</w:t>
            </w:r>
          </w:p>
        </w:tc>
        <w:tc>
          <w:tcPr/>
          <w:p>
            <w:pPr>
              <w:pStyle w:val="Compact"/>
              <w:jc w:val="left"/>
            </w:pPr>
            <w:r>
              <w:t xml:space="preserve">m²</w:t>
            </w:r>
          </w:p>
        </w:tc>
        <w:tc>
          <w:tcPr/>
          <w:p>
            <w:pPr>
              <w:pStyle w:val="Compact"/>
              <w:jc w:val="left"/>
            </w:pPr>
            <w:r>
              <w:t xml:space="preserve">145</w:t>
            </w:r>
          </w:p>
        </w:tc>
        <w:tc>
          <w:tcPr/>
          <w:p>
            <w:pPr>
              <w:pStyle w:val="Compact"/>
              <w:jc w:val="left"/>
            </w:pPr>
            <w:r>
              <w:t xml:space="preserve">14,000</w:t>
            </w:r>
          </w:p>
        </w:tc>
        <w:tc>
          <w:tcPr/>
          <w:p>
            <w:pPr>
              <w:pStyle w:val="Compact"/>
              <w:jc w:val="left"/>
            </w:pPr>
            <w:r>
              <w:t xml:space="preserve">2,030,000</w:t>
            </w:r>
          </w:p>
        </w:tc>
      </w:tr>
      <w:tr>
        <w:tc>
          <w:tcPr/>
          <w:p>
            <w:pPr>
              <w:pStyle w:val="Compact"/>
              <w:jc w:val="left"/>
            </w:pPr>
            <w:r>
              <w:t xml:space="preserve">6</w:t>
            </w:r>
          </w:p>
        </w:tc>
        <w:tc>
          <w:tcPr/>
          <w:p>
            <w:pPr>
              <w:pStyle w:val="Compact"/>
              <w:jc w:val="left"/>
            </w:pPr>
            <w:r>
              <w:t xml:space="preserve">Wall tiling for kitchen and 2 bathrooms (up to 2.1m height)</w:t>
            </w:r>
          </w:p>
        </w:tc>
        <w:tc>
          <w:tcPr/>
          <w:p>
            <w:pPr>
              <w:pStyle w:val="Compact"/>
              <w:jc w:val="left"/>
            </w:pPr>
            <w:r>
              <w:t xml:space="preserve">m²</w:t>
            </w:r>
          </w:p>
        </w:tc>
        <w:tc>
          <w:tcPr/>
          <w:p>
            <w:pPr>
              <w:pStyle w:val="Compact"/>
              <w:jc w:val="left"/>
            </w:pPr>
            <w:r>
              <w:t xml:space="preserve">68</w:t>
            </w:r>
          </w:p>
        </w:tc>
        <w:tc>
          <w:tcPr/>
          <w:p>
            <w:pPr>
              <w:pStyle w:val="Compact"/>
              <w:jc w:val="left"/>
            </w:pPr>
            <w:r>
              <w:t xml:space="preserve">11,500</w:t>
            </w:r>
          </w:p>
        </w:tc>
        <w:tc>
          <w:tcPr/>
          <w:p>
            <w:pPr>
              <w:pStyle w:val="Compact"/>
              <w:jc w:val="left"/>
            </w:pPr>
            <w:r>
              <w:t xml:space="preserve">782,000</w:t>
            </w:r>
          </w:p>
        </w:tc>
      </w:tr>
      <w:tr>
        <w:tc>
          <w:tcPr/>
          <w:p>
            <w:pPr>
              <w:pStyle w:val="Compact"/>
              <w:jc w:val="left"/>
            </w:pPr>
            <w:r>
              <w:t xml:space="preserve">7</w:t>
            </w:r>
          </w:p>
        </w:tc>
        <w:tc>
          <w:tcPr/>
          <w:p>
            <w:pPr>
              <w:pStyle w:val="Compact"/>
              <w:jc w:val="left"/>
            </w:pPr>
            <w:r>
              <w:t xml:space="preserve">Construction of 4m x 3m masonry gate structure with steel reinforcement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Skirting and window sill finishing (Mason decorative work)</w:t>
            </w:r>
          </w:p>
        </w:tc>
        <w:tc>
          <w:tcPr/>
          <w:p>
            <w:pPr>
              <w:pStyle w:val="Compact"/>
              <w:jc w:val="left"/>
            </w:pPr>
            <w:r>
              <w:t xml:space="preserve">lm</w:t>
            </w:r>
          </w:p>
        </w:tc>
        <w:tc>
          <w:tcPr/>
          <w:p>
            <w:pPr>
              <w:pStyle w:val="Compact"/>
              <w:jc w:val="left"/>
            </w:pPr>
            <w:r>
              <w:t xml:space="preserve">95</w:t>
            </w:r>
          </w:p>
        </w:tc>
        <w:tc>
          <w:tcPr/>
          <w:p>
            <w:pPr>
              <w:pStyle w:val="Compact"/>
              <w:jc w:val="left"/>
            </w:pPr>
            <w:r>
              <w:t xml:space="preserve">3,800</w:t>
            </w:r>
          </w:p>
        </w:tc>
        <w:tc>
          <w:tcPr/>
          <w:p>
            <w:pPr>
              <w:pStyle w:val="Compact"/>
              <w:jc w:val="left"/>
            </w:pPr>
            <w:r>
              <w:t xml:space="preserve">361,000</w:t>
            </w:r>
          </w:p>
        </w:tc>
      </w:tr>
      <w:tr>
        <w:tc>
          <w:tcPr/>
          <w:p>
            <w:pPr>
              <w:pStyle w:val="Compact"/>
              <w:jc w:val="left"/>
            </w:pPr>
            <w:r>
              <w:t xml:space="preserve">9</w:t>
            </w:r>
          </w:p>
        </w:tc>
        <w:tc>
          <w:tcPr/>
          <w:p>
            <w:pPr>
              <w:pStyle w:val="Compact"/>
              <w:jc w:val="left"/>
            </w:pPr>
            <w:r>
              <w:t xml:space="preserve">Site preparation, scaffolding, and Mason labour supervision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Waste removal and site cleanup upon 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10,793,500</w:t>
            </w:r>
          </w:p>
        </w:tc>
      </w:tr>
      <w:tr>
        <w:tc>
          <w:tcPr>
            <w:gridSpan w:val="5"/>
          </w:tcPr>
          <w:p>
            <w:pPr>
              <w:pStyle w:val="Compact"/>
              <w:jc w:val="left"/>
            </w:pPr>
            <w:r>
              <w:t xml:space="preserve">VAT (7.5% – Nigeria Abuja FCT Rate)</w:t>
            </w:r>
          </w:p>
        </w:tc>
        <w:tc>
          <w:tcPr/>
          <w:p>
            <w:pPr>
              <w:pStyle w:val="Compact"/>
              <w:jc w:val="left"/>
            </w:pPr>
            <w:r>
              <w:t xml:space="preserve">809,513</w:t>
            </w:r>
          </w:p>
        </w:tc>
      </w:tr>
      <w:tr>
        <w:tc>
          <w:tcPr>
            <w:gridSpan w:val="5"/>
          </w:tcPr>
          <w:p>
            <w:pPr>
              <w:pStyle w:val="Compact"/>
              <w:jc w:val="left"/>
            </w:pPr>
            <w:r>
              <w:t xml:space="preserve">GRAND TOTAL (NGN)</w:t>
            </w:r>
          </w:p>
        </w:tc>
        <w:tc>
          <w:tcPr/>
          <w:p>
            <w:pPr>
              <w:pStyle w:val="Compact"/>
              <w:jc w:val="left"/>
            </w:pPr>
            <w:r>
              <w:t xml:space="preserve">11,603,013</w:t>
            </w:r>
          </w:p>
        </w:tc>
      </w:tr>
    </w:tbl>
    <w:p>
      <w:pPr>
        <w:pStyle w:val="BodyText"/>
      </w:pPr>
      <w:r>
        <w:rPr>
          <w:bCs/>
          <w:b/>
        </w:rPr>
        <w:t xml:space="preserve">Note:</w:t>
      </w:r>
      <w:r>
        <w:t xml:space="preserve"> </w:t>
      </w:r>
      <w:r>
        <w:t xml:space="preserve">This Quotation Estimate is specific to the project location in Nigeria Abuja and accounts for local material sourcing from Gwarinpa and Wuse commercial markets. Prices are subject to fluctuation based on cement and block availability in the FCT market.</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40%</w:t>
            </w:r>
          </w:p>
        </w:tc>
        <w:tc>
          <w:tcPr/>
          <w:p>
            <w:pPr>
              <w:pStyle w:val="Compact"/>
              <w:jc w:val="left"/>
            </w:pPr>
            <w:r>
              <w:t xml:space="preserve">4,641,205</w:t>
            </w:r>
          </w:p>
        </w:tc>
        <w:tc>
          <w:tcPr/>
          <w:p>
            <w:pPr>
              <w:pStyle w:val="Compact"/>
              <w:jc w:val="left"/>
            </w:pPr>
            <w:r>
              <w:t xml:space="preserve">Upon acceptance of this Quotation Estimate</w:t>
            </w:r>
          </w:p>
        </w:tc>
      </w:tr>
      <w:tr>
        <w:tc>
          <w:tcPr/>
          <w:p>
            <w:pPr>
              <w:pStyle w:val="Compact"/>
              <w:jc w:val="left"/>
            </w:pPr>
            <w:r>
              <w:t xml:space="preserve">Mid-Project Payment</w:t>
            </w:r>
          </w:p>
        </w:tc>
        <w:tc>
          <w:tcPr/>
          <w:p>
            <w:pPr>
              <w:pStyle w:val="Compact"/>
              <w:jc w:val="left"/>
            </w:pPr>
            <w:r>
              <w:t xml:space="preserve">35%</w:t>
            </w:r>
          </w:p>
        </w:tc>
        <w:tc>
          <w:tcPr/>
          <w:p>
            <w:pPr>
              <w:pStyle w:val="Compact"/>
              <w:jc w:val="left"/>
            </w:pPr>
            <w:r>
              <w:t xml:space="preserve">4,061,055</w:t>
            </w:r>
          </w:p>
        </w:tc>
        <w:tc>
          <w:tcPr/>
          <w:p>
            <w:pPr>
              <w:pStyle w:val="Compact"/>
              <w:jc w:val="left"/>
            </w:pPr>
            <w:r>
              <w:t xml:space="preserve">Upon completion of block laying and plastering</w:t>
            </w:r>
          </w:p>
        </w:tc>
      </w:tr>
      <w:tr>
        <w:tc>
          <w:tcPr/>
          <w:p>
            <w:pPr>
              <w:pStyle w:val="Compact"/>
              <w:jc w:val="left"/>
            </w:pPr>
            <w:r>
              <w:t xml:space="preserve">Final Payment</w:t>
            </w:r>
          </w:p>
        </w:tc>
        <w:tc>
          <w:tcPr/>
          <w:p>
            <w:pPr>
              <w:pStyle w:val="Compact"/>
              <w:jc w:val="left"/>
            </w:pPr>
            <w:r>
              <w:t xml:space="preserve">25%</w:t>
            </w:r>
          </w:p>
        </w:tc>
        <w:tc>
          <w:tcPr/>
          <w:p>
            <w:pPr>
              <w:pStyle w:val="Compact"/>
              <w:jc w:val="left"/>
            </w:pPr>
            <w:r>
              <w:t xml:space="preserve">2,900,753</w:t>
            </w:r>
          </w:p>
        </w:tc>
        <w:tc>
          <w:tcPr/>
          <w:p>
            <w:pPr>
              <w:pStyle w:val="Compact"/>
              <w:jc w:val="left"/>
            </w:pPr>
            <w:r>
              <w:t xml:space="preserve">Upon final inspection and handover</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current market conditions in</w:t>
      </w:r>
      <w:r>
        <w:t xml:space="preserve"> </w:t>
      </w:r>
      <w:r>
        <w:t xml:space="preserve">Nigeria Abuja</w:t>
      </w:r>
      <w:r>
        <w:t xml:space="preserve">.</w:t>
      </w:r>
    </w:p>
    <w:p>
      <w:pPr>
        <w:numPr>
          <w:ilvl w:val="0"/>
          <w:numId w:val="1001"/>
        </w:numPr>
        <w:pStyle w:val="Compact"/>
      </w:pPr>
      <w:r>
        <w:t xml:space="preserve">All</w:t>
      </w:r>
      <w:r>
        <w:t xml:space="preserve"> </w:t>
      </w:r>
      <w:r>
        <w:t xml:space="preserve">Mason</w:t>
      </w:r>
      <w:r>
        <w:t xml:space="preserve"> </w:t>
      </w:r>
      <w:r>
        <w:t xml:space="preserve">work shall be carried out in strict compliance with the Nigerian Building Code and FCT Urban and Regional Planning Authority (FCTURPA) regulations.</w:t>
      </w:r>
    </w:p>
    <w:p>
      <w:pPr>
        <w:numPr>
          <w:ilvl w:val="0"/>
          <w:numId w:val="1001"/>
        </w:numPr>
        <w:pStyle w:val="Compact"/>
      </w:pPr>
      <w:r>
        <w:t xml:space="preserve">The client shall provide uninterrupted access to the site in Asokoro, Abuja, and ensure that all necessary permits and approvals are obtained prior to commencement of masonry works.</w:t>
      </w:r>
    </w:p>
    <w:p>
      <w:pPr>
        <w:numPr>
          <w:ilvl w:val="0"/>
          <w:numId w:val="1001"/>
        </w:numPr>
        <w:pStyle w:val="Compact"/>
      </w:pPr>
      <w:r>
        <w:t xml:space="preserve">Any additional work or variation requested by the client beyond the scope outlined in this Quotation Estimate shall be subject to a separate written amendment and additional cost assessment.</w:t>
      </w:r>
    </w:p>
    <w:p>
      <w:pPr>
        <w:numPr>
          <w:ilvl w:val="0"/>
          <w:numId w:val="1001"/>
        </w:numPr>
        <w:pStyle w:val="Compact"/>
      </w:pPr>
      <w:r>
        <w:t xml:space="preserve">Apex Mason &amp; Construction Ltd. provides a twelve (12) month workmanship warranty on all masonry and finishing works completed under this Quotation Estimate.</w:t>
      </w:r>
    </w:p>
    <w:p>
      <w:pPr>
        <w:numPr>
          <w:ilvl w:val="0"/>
          <w:numId w:val="1001"/>
        </w:numPr>
        <w:pStyle w:val="Compact"/>
      </w:pPr>
      <w:r>
        <w:t xml:space="preserve">Payment shall be made via bank transfer to the company account. No cash payments shall be accepted for any portion of this Quotation Estimate.</w:t>
      </w:r>
    </w:p>
    <w:p>
      <w:pPr>
        <w:numPr>
          <w:ilvl w:val="0"/>
          <w:numId w:val="1001"/>
        </w:numPr>
        <w:pStyle w:val="Compact"/>
      </w:pPr>
      <w:r>
        <w:t xml:space="preserve">The project timeline of fourteen (14) working days assumes normal weather conditions in Abuja. Delays caused by the rainy season or force majeure events shall extend the timeline proportionally.</w:t>
      </w:r>
    </w:p>
    <w:p>
      <w:pPr>
        <w:numPr>
          <w:ilvl w:val="0"/>
          <w:numId w:val="1001"/>
        </w:numPr>
        <w:pStyle w:val="Compact"/>
      </w:pPr>
      <w:r>
        <w:t xml:space="preserve">All materials specified in this Quotation Estimate shall be sourced from reputable suppliers within the Nigeria Abuja metropolitan area to ensure quality and timely delivery.</w:t>
      </w:r>
    </w:p>
    <w:p>
      <w:pPr>
        <w:numPr>
          <w:ilvl w:val="0"/>
          <w:numId w:val="1001"/>
        </w:numPr>
        <w:pStyle w:val="Compact"/>
      </w:pPr>
      <w:r>
        <w:t xml:space="preserve">The client acknowledges that the</w:t>
      </w:r>
      <w:r>
        <w:t xml:space="preserve"> </w:t>
      </w:r>
      <w:r>
        <w:t xml:space="preserve">Mason</w:t>
      </w:r>
      <w:r>
        <w:t xml:space="preserve"> </w:t>
      </w:r>
      <w:r>
        <w:t xml:space="preserve">team will operate between 7:00 AM and 5:00 PM, Monday through Saturday, in accordance with local labour practices in the FCT.</w:t>
      </w:r>
    </w:p>
    <w:p>
      <w:pPr>
        <w:numPr>
          <w:ilvl w:val="0"/>
          <w:numId w:val="1001"/>
        </w:numPr>
        <w:pStyle w:val="Compact"/>
      </w:pPr>
      <w:r>
        <w:t xml:space="preserve">Disputes arising from this Quotation Estimate shall be resolved through mediation in Abuja, Nigeria, in accordance with the laws of the Federal Republic of Nigeria.</w:t>
      </w:r>
    </w:p>
    <w:p>
      <w:pPr>
        <w:pStyle w:val="FirstParagraph"/>
      </w:pPr>
      <w:r>
        <w:t xml:space="preserve">Acceptance and Authorization</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Mason</w:t>
      </w:r>
      <w:r>
        <w:t xml:space="preserve"> </w:t>
      </w:r>
      <w:r>
        <w:t xml:space="preserve">and masonry services to be executed in</w:t>
      </w:r>
      <w:r>
        <w:t xml:space="preserve"> </w:t>
      </w:r>
      <w:r>
        <w:t xml:space="preserve">Nigeria Abuja</w:t>
      </w:r>
      <w:r>
        <w:t xml:space="preserve">.</w:t>
      </w:r>
    </w:p>
    <w:p>
      <w:pPr>
        <w:pStyle w:val="BodyText"/>
      </w:pPr>
      <w:r>
        <w:rPr>
          <w:bCs/>
          <w:b/>
        </w:rPr>
        <w:t xml:space="preserve">For: Apex Mason &amp; Construction Ltd.</w:t>
      </w:r>
      <w:r>
        <w:br/>
      </w:r>
      <w:r>
        <w:t xml:space="preserve">Name: Engr. Ibrahim Danjuma</w:t>
      </w:r>
      <w:r>
        <w:br/>
      </w:r>
      <w:r>
        <w:t xml:space="preserve">Title: Lead Mason &amp; Project Director</w:t>
      </w:r>
      <w:r>
        <w:br/>
      </w:r>
      <w:r>
        <w:t xml:space="preserve">Date: _______________</w:t>
      </w:r>
    </w:p>
    <w:p>
      <w:pPr>
        <w:pStyle w:val="BodyText"/>
      </w:pPr>
      <w:r>
        <w:rPr>
          <w:bCs/>
          <w:b/>
        </w:rPr>
        <w:t xml:space="preserve">For: The Client</w:t>
      </w:r>
      <w:r>
        <w:br/>
      </w:r>
      <w:r>
        <w:t xml:space="preserve">Name: Mr. Chukwuma Okafor</w:t>
      </w:r>
      <w:r>
        <w:br/>
      </w:r>
      <w:r>
        <w:t xml:space="preserve">Title: Property Owner</w:t>
      </w:r>
      <w:r>
        <w:br/>
      </w:r>
      <w:r>
        <w:t xml:space="preserve">Date: _______________</w:t>
      </w:r>
    </w:p>
    <w:p>
      <w:pPr>
        <w:pStyle w:val="BodyText"/>
      </w:pPr>
      <w:r>
        <w:t xml:space="preserve">Apex Mason &amp; Construction Ltd. | RC: 1847293 | Abuja, FCT, Nigeria</w:t>
      </w:r>
    </w:p>
    <w:p>
      <w:pPr>
        <w:pStyle w:val="BodyText"/>
      </w:pPr>
      <w:r>
        <w:t xml:space="preserve">This Quotation Estimate document is generated electronically and is valid without a physical stamp.</w:t>
      </w:r>
    </w:p>
    <w:p>
      <w:pPr>
        <w:pStyle w:val="BodyText"/>
      </w:pPr>
      <w:r>
        <w:t xml:space="preserve">© 2025 Apex Mason &amp; Construction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Nigeria Abuja</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