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c1aa7fbd8039942b7e3d68c0040900e6cba9094"/>
    <w:p>
      <w:pPr>
        <w:pStyle w:val="Heading1"/>
      </w:pPr>
      <w:r>
        <w:t xml:space="preserve">LAGOS BUILDING &amp; CONSTRUCTION SERVICES LTD.</w:t>
      </w:r>
    </w:p>
    <w:p>
      <w:pPr>
        <w:pStyle w:val="FirstParagraph"/>
      </w:pPr>
      <w:r>
        <w:t xml:space="preserve">14B Admiralty Way, Lekki Phase 1, Lagos, Nigeria</w:t>
      </w:r>
    </w:p>
    <w:p>
      <w:pPr>
        <w:pStyle w:val="BodyText"/>
      </w:pPr>
      <w:r>
        <w:t xml:space="preserve">Phone: +234 803 555 0192 | Email: info@lagosbuildingservices.ng</w:t>
      </w:r>
    </w:p>
    <w:p>
      <w:pPr>
        <w:pStyle w:val="BodyText"/>
      </w:pPr>
      <w:r>
        <w:t xml:space="preserve">RC No: 1245789 | TIN: 1045-7892-3456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QTE-LAG-2025-04782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Project Location:</w:t>
      </w:r>
      <w:r>
        <w:t xml:space="preserve"> </w:t>
      </w:r>
      <w:r>
        <w:t xml:space="preserve">Victoria Island, Nigeria Lagos</w:t>
      </w:r>
    </w:p>
    <w:p>
      <w:pPr>
        <w:pStyle w:val="BodyText"/>
      </w:pPr>
      <w:r>
        <w:rPr>
          <w:bCs/>
          <w:b/>
        </w:rPr>
        <w:t xml:space="preserve">Prepared By:</w:t>
      </w:r>
      <w:r>
        <w:t xml:space="preserve"> </w:t>
      </w:r>
      <w:r>
        <w:t xml:space="preserve">Engr. Tunde Adebayo, Senior Mason Supervisor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Chinedu Okafor</w:t>
      </w:r>
    </w:p>
    <w:p>
      <w:pPr>
        <w:pStyle w:val="BodyText"/>
      </w:pPr>
      <w:r>
        <w:rPr>
          <w:bCs/>
          <w:b/>
        </w:rPr>
        <w:t xml:space="preserve">Company:</w:t>
      </w:r>
      <w:r>
        <w:t xml:space="preserve"> </w:t>
      </w:r>
      <w:r>
        <w:t xml:space="preserve">Okafor Properties &amp; Holdings Ltd.</w:t>
      </w:r>
    </w:p>
    <w:p>
      <w:pPr>
        <w:pStyle w:val="BodyText"/>
      </w:pPr>
      <w:r>
        <w:rPr>
          <w:bCs/>
          <w:b/>
        </w:rPr>
        <w:t xml:space="preserve">Address:</w:t>
      </w:r>
      <w:r>
        <w:t xml:space="preserve"> </w:t>
      </w:r>
      <w:r>
        <w:t xml:space="preserve">22 Adeola Odeku Street, Victoria Island, Nigeria Lagos</w:t>
      </w:r>
    </w:p>
    <w:p>
      <w:pPr>
        <w:pStyle w:val="BodyText"/>
      </w:pPr>
      <w:r>
        <w:rPr>
          <w:bCs/>
          <w:b/>
        </w:rPr>
        <w:t xml:space="preserve">Phone:</w:t>
      </w:r>
      <w:r>
        <w:t xml:space="preserve"> </w:t>
      </w:r>
      <w:r>
        <w:t xml:space="preserve">+234 805 221 7743</w:t>
      </w:r>
    </w:p>
    <w:p>
      <w:pPr>
        <w:pStyle w:val="BodyText"/>
      </w:pPr>
      <w:r>
        <w:rPr>
          <w:bCs/>
          <w:b/>
        </w:rPr>
        <w:t xml:space="preserve">Email:</w:t>
      </w:r>
      <w:r>
        <w:t xml:space="preserve"> </w:t>
      </w:r>
      <w:r>
        <w:t xml:space="preserve">c.okafor@okaforproperties.ng</w:t>
      </w:r>
    </w:p>
    <w:bookmarkEnd w:id="22"/>
    <w:p>
      <w:pPr>
        <w:pStyle w:val="BodyText"/>
      </w:pPr>
      <w:r>
        <w:t xml:space="preserve">This</w:t>
      </w:r>
      <w:r>
        <w:t xml:space="preserve"> </w:t>
      </w:r>
      <w:r>
        <w:rPr>
          <w:bCs/>
          <w:b/>
        </w:rPr>
        <w:t xml:space="preserve">Quotation Estimate</w:t>
      </w:r>
      <w:r>
        <w:t xml:space="preserve"> </w:t>
      </w:r>
      <w:r>
        <w:t xml:space="preserve">is issued by Lagos Building &amp; Construction Services Ltd. in response to the client's request for comprehensive masonry and structural walling works at the above-referenced property in Nigeria Lagos. The scope of work detailed below has been assessed by our qualified</w:t>
      </w:r>
      <w:r>
        <w:t xml:space="preserve"> </w:t>
      </w:r>
      <w:r>
        <w:rPr>
          <w:bCs/>
          <w:b/>
        </w:rPr>
        <w:t xml:space="preserve">Mason</w:t>
      </w:r>
      <w:r>
        <w:t xml:space="preserve"> </w:t>
      </w:r>
      <w:r>
        <w:t xml:space="preserve">team, who conducted a site survey on 5 June 2025 to determine the exact quantities, materials, and labour requirements necessary to deliver a structurally sound and aesthetically finished masonry project in accordance with Nigerian Building and Road Works Corporation (NABRDC) standards and the Lagos State Building Control Agency (LASBCA) regulations.</w:t>
      </w:r>
    </w:p>
    <w:p>
      <w:pPr>
        <w:pStyle w:val="BodyText"/>
      </w:pPr>
      <w:r>
        <w:t xml:space="preserve">1. Scope of Mason Work</w:t>
      </w:r>
    </w:p>
    <w:p>
      <w:pPr>
        <w:pStyle w:val="BodyText"/>
      </w:pPr>
      <w:r>
        <w:t xml:space="preserve">The</w:t>
      </w:r>
      <w:r>
        <w:t xml:space="preserve"> </w:t>
      </w:r>
      <w:r>
        <w:rPr>
          <w:bCs/>
          <w:b/>
        </w:rPr>
        <w:t xml:space="preserve">Mason</w:t>
      </w:r>
      <w:r>
        <w:t xml:space="preserve"> </w:t>
      </w:r>
      <w:r>
        <w:t xml:space="preserve">team engaged for this project will execute the following masonry activities at the client's residential compound in Nigeria Lagos. All work shall be carried out by certified masons with a minimum of five years of experience in structural and decorative masonry, supervised by a licensed site engineer. The masonry work includes but is not limited to the construction of perimeter walls, internal partition walls, load-bearing walls, foundation walling, and decorative blockwork as specified in the architectural drawings provided by the client.</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Supply and laying of 6-inch solid concrete blocks for perimeter wall (height: 2.4m) including cement mortar (1:4 mix)</w:t>
            </w:r>
          </w:p>
        </w:tc>
        <w:tc>
          <w:tcPr/>
          <w:p>
            <w:pPr>
              <w:pStyle w:val="Compact"/>
              <w:jc w:val="left"/>
            </w:pPr>
            <w:r>
              <w:t xml:space="preserve">Running Metre</w:t>
            </w:r>
          </w:p>
        </w:tc>
        <w:tc>
          <w:tcPr/>
          <w:p>
            <w:pPr>
              <w:pStyle w:val="Compact"/>
              <w:jc w:val="left"/>
            </w:pPr>
            <w:r>
              <w:t xml:space="preserve">185</w:t>
            </w:r>
          </w:p>
        </w:tc>
        <w:tc>
          <w:tcPr/>
          <w:p>
            <w:pPr>
              <w:pStyle w:val="Compact"/>
              <w:jc w:val="left"/>
            </w:pPr>
            <w:r>
              <w:t xml:space="preserve">18,500</w:t>
            </w:r>
          </w:p>
        </w:tc>
        <w:tc>
          <w:tcPr/>
          <w:p>
            <w:pPr>
              <w:pStyle w:val="Compact"/>
              <w:jc w:val="left"/>
            </w:pPr>
            <w:r>
              <w:t xml:space="preserve">3,422,500</w:t>
            </w:r>
          </w:p>
        </w:tc>
      </w:tr>
      <w:tr>
        <w:tc>
          <w:tcPr/>
          <w:p>
            <w:pPr>
              <w:pStyle w:val="Compact"/>
              <w:jc w:val="left"/>
            </w:pPr>
            <w:r>
              <w:t xml:space="preserve">2</w:t>
            </w:r>
          </w:p>
        </w:tc>
        <w:tc>
          <w:tcPr/>
          <w:p>
            <w:pPr>
              <w:pStyle w:val="Compact"/>
              <w:jc w:val="left"/>
            </w:pPr>
            <w:r>
              <w:t xml:space="preserve">Supply and laying of 9-inch hollow concrete blocks for internal partition walls (height: 3.0m) with cement mortar</w:t>
            </w:r>
          </w:p>
        </w:tc>
        <w:tc>
          <w:tcPr/>
          <w:p>
            <w:pPr>
              <w:pStyle w:val="Compact"/>
              <w:jc w:val="left"/>
            </w:pPr>
            <w:r>
              <w:t xml:space="preserve">Square Metre</w:t>
            </w:r>
          </w:p>
        </w:tc>
        <w:tc>
          <w:tcPr/>
          <w:p>
            <w:pPr>
              <w:pStyle w:val="Compact"/>
              <w:jc w:val="left"/>
            </w:pPr>
            <w:r>
              <w:t xml:space="preserve">420</w:t>
            </w:r>
          </w:p>
        </w:tc>
        <w:tc>
          <w:tcPr/>
          <w:p>
            <w:pPr>
              <w:pStyle w:val="Compact"/>
              <w:jc w:val="left"/>
            </w:pPr>
            <w:r>
              <w:t xml:space="preserve">12,800</w:t>
            </w:r>
          </w:p>
        </w:tc>
        <w:tc>
          <w:tcPr/>
          <w:p>
            <w:pPr>
              <w:pStyle w:val="Compact"/>
              <w:jc w:val="left"/>
            </w:pPr>
            <w:r>
              <w:t xml:space="preserve">5,376,000</w:t>
            </w:r>
          </w:p>
        </w:tc>
      </w:tr>
      <w:tr>
        <w:tc>
          <w:tcPr/>
          <w:p>
            <w:pPr>
              <w:pStyle w:val="Compact"/>
              <w:jc w:val="left"/>
            </w:pPr>
            <w:r>
              <w:t xml:space="preserve">3</w:t>
            </w:r>
          </w:p>
        </w:tc>
        <w:tc>
          <w:tcPr/>
          <w:p>
            <w:pPr>
              <w:pStyle w:val="Compact"/>
              <w:jc w:val="left"/>
            </w:pPr>
            <w:r>
              <w:t xml:space="preserve">Foundation walling using 9-inch solid blocks with reinforced concrete footing (depth: 1.2m) for load-bearing walls</w:t>
            </w:r>
          </w:p>
        </w:tc>
        <w:tc>
          <w:tcPr/>
          <w:p>
            <w:pPr>
              <w:pStyle w:val="Compact"/>
              <w:jc w:val="left"/>
            </w:pPr>
            <w:r>
              <w:t xml:space="preserve">Running Metre</w:t>
            </w:r>
          </w:p>
        </w:tc>
        <w:tc>
          <w:tcPr/>
          <w:p>
            <w:pPr>
              <w:pStyle w:val="Compact"/>
              <w:jc w:val="left"/>
            </w:pPr>
            <w:r>
              <w:t xml:space="preserve">96</w:t>
            </w:r>
          </w:p>
        </w:tc>
        <w:tc>
          <w:tcPr/>
          <w:p>
            <w:pPr>
              <w:pStyle w:val="Compact"/>
              <w:jc w:val="left"/>
            </w:pPr>
            <w:r>
              <w:t xml:space="preserve">32,000</w:t>
            </w:r>
          </w:p>
        </w:tc>
        <w:tc>
          <w:tcPr/>
          <w:p>
            <w:pPr>
              <w:pStyle w:val="Compact"/>
              <w:jc w:val="left"/>
            </w:pPr>
            <w:r>
              <w:t xml:space="preserve">3,072,000</w:t>
            </w:r>
          </w:p>
        </w:tc>
      </w:tr>
      <w:tr>
        <w:tc>
          <w:tcPr/>
          <w:p>
            <w:pPr>
              <w:pStyle w:val="Compact"/>
              <w:jc w:val="left"/>
            </w:pPr>
            <w:r>
              <w:t xml:space="preserve">4</w:t>
            </w:r>
          </w:p>
        </w:tc>
        <w:tc>
          <w:tcPr/>
          <w:p>
            <w:pPr>
              <w:pStyle w:val="Compact"/>
              <w:jc w:val="left"/>
            </w:pPr>
            <w:r>
              <w:t xml:space="preserve">Decorative masonry work: exposed blockwork feature wall with coloured cement finish and joint pointing</w:t>
            </w:r>
          </w:p>
        </w:tc>
        <w:tc>
          <w:tcPr/>
          <w:p>
            <w:pPr>
              <w:pStyle w:val="Compact"/>
              <w:jc w:val="left"/>
            </w:pPr>
            <w:r>
              <w:t xml:space="preserve">Square Metre</w:t>
            </w:r>
          </w:p>
        </w:tc>
        <w:tc>
          <w:tcPr/>
          <w:p>
            <w:pPr>
              <w:pStyle w:val="Compact"/>
              <w:jc w:val="left"/>
            </w:pPr>
            <w:r>
              <w:t xml:space="preserve">65</w:t>
            </w:r>
          </w:p>
        </w:tc>
        <w:tc>
          <w:tcPr/>
          <w:p>
            <w:pPr>
              <w:pStyle w:val="Compact"/>
              <w:jc w:val="left"/>
            </w:pPr>
            <w:r>
              <w:t xml:space="preserve">28,500</w:t>
            </w:r>
          </w:p>
        </w:tc>
        <w:tc>
          <w:tcPr/>
          <w:p>
            <w:pPr>
              <w:pStyle w:val="Compact"/>
              <w:jc w:val="left"/>
            </w:pPr>
            <w:r>
              <w:t xml:space="preserve">1,852,500</w:t>
            </w:r>
          </w:p>
        </w:tc>
      </w:tr>
      <w:tr>
        <w:tc>
          <w:tcPr/>
          <w:p>
            <w:pPr>
              <w:pStyle w:val="Compact"/>
              <w:jc w:val="left"/>
            </w:pPr>
            <w:r>
              <w:t xml:space="preserve">5</w:t>
            </w:r>
          </w:p>
        </w:tc>
        <w:tc>
          <w:tcPr/>
          <w:p>
            <w:pPr>
              <w:pStyle w:val="Compact"/>
              <w:jc w:val="left"/>
            </w:pPr>
            <w:r>
              <w:t xml:space="preserve">Brickwork for kitchen and bathroom walls (6-inch red clay bricks) with waterproof cement mortar</w:t>
            </w:r>
          </w:p>
        </w:tc>
        <w:tc>
          <w:tcPr/>
          <w:p>
            <w:pPr>
              <w:pStyle w:val="Compact"/>
              <w:jc w:val="left"/>
            </w:pPr>
            <w:r>
              <w:t xml:space="preserve">Square Metre</w:t>
            </w:r>
          </w:p>
        </w:tc>
        <w:tc>
          <w:tcPr/>
          <w:p>
            <w:pPr>
              <w:pStyle w:val="Compact"/>
              <w:jc w:val="left"/>
            </w:pPr>
            <w:r>
              <w:t xml:space="preserve">88</w:t>
            </w:r>
          </w:p>
        </w:tc>
        <w:tc>
          <w:tcPr/>
          <w:p>
            <w:pPr>
              <w:pStyle w:val="Compact"/>
              <w:jc w:val="left"/>
            </w:pPr>
            <w:r>
              <w:t xml:space="preserve">16,200</w:t>
            </w:r>
          </w:p>
        </w:tc>
        <w:tc>
          <w:tcPr/>
          <w:p>
            <w:pPr>
              <w:pStyle w:val="Compact"/>
              <w:jc w:val="left"/>
            </w:pPr>
            <w:r>
              <w:t xml:space="preserve">1,425,600</w:t>
            </w:r>
          </w:p>
        </w:tc>
      </w:tr>
      <w:tr>
        <w:tc>
          <w:tcPr/>
          <w:p>
            <w:pPr>
              <w:pStyle w:val="Compact"/>
              <w:jc w:val="left"/>
            </w:pPr>
            <w:r>
              <w:t xml:space="preserve">6</w:t>
            </w:r>
          </w:p>
        </w:tc>
        <w:tc>
          <w:tcPr/>
          <w:p>
            <w:pPr>
              <w:pStyle w:val="Compact"/>
              <w:jc w:val="left"/>
            </w:pPr>
            <w:r>
              <w:t xml:space="preserve">Lintel and ring beam installation (RC) integrated with masonry walls</w:t>
            </w:r>
          </w:p>
        </w:tc>
        <w:tc>
          <w:tcPr/>
          <w:p>
            <w:pPr>
              <w:pStyle w:val="Compact"/>
              <w:jc w:val="left"/>
            </w:pPr>
            <w:r>
              <w:t xml:space="preserve">Running Metre</w:t>
            </w:r>
          </w:p>
        </w:tc>
        <w:tc>
          <w:tcPr/>
          <w:p>
            <w:pPr>
              <w:pStyle w:val="Compact"/>
              <w:jc w:val="left"/>
            </w:pPr>
            <w:r>
              <w:t xml:space="preserve">142</w:t>
            </w:r>
          </w:p>
        </w:tc>
        <w:tc>
          <w:tcPr/>
          <w:p>
            <w:pPr>
              <w:pStyle w:val="Compact"/>
              <w:jc w:val="left"/>
            </w:pPr>
            <w:r>
              <w:t xml:space="preserve">24,000</w:t>
            </w:r>
          </w:p>
        </w:tc>
        <w:tc>
          <w:tcPr/>
          <w:p>
            <w:pPr>
              <w:pStyle w:val="Compact"/>
              <w:jc w:val="left"/>
            </w:pPr>
            <w:r>
              <w:t xml:space="preserve">3,408,000</w:t>
            </w:r>
          </w:p>
        </w:tc>
      </w:tr>
      <w:tr>
        <w:tc>
          <w:tcPr/>
          <w:p>
            <w:pPr>
              <w:pStyle w:val="Compact"/>
              <w:jc w:val="left"/>
            </w:pPr>
            <w:r>
              <w:t xml:space="preserve">7</w:t>
            </w:r>
          </w:p>
        </w:tc>
        <w:tc>
          <w:tcPr/>
          <w:p>
            <w:pPr>
              <w:pStyle w:val="Compact"/>
              <w:jc w:val="left"/>
            </w:pPr>
            <w:r>
              <w:t xml:space="preserve">Wall plastering (internal and external) using 1:6 cement-sand mix, two-coat finish</w:t>
            </w:r>
          </w:p>
        </w:tc>
        <w:tc>
          <w:tcPr/>
          <w:p>
            <w:pPr>
              <w:pStyle w:val="Compact"/>
              <w:jc w:val="left"/>
            </w:pPr>
            <w:r>
              <w:t xml:space="preserve">Square Metre</w:t>
            </w:r>
          </w:p>
        </w:tc>
        <w:tc>
          <w:tcPr/>
          <w:p>
            <w:pPr>
              <w:pStyle w:val="Compact"/>
              <w:jc w:val="left"/>
            </w:pPr>
            <w:r>
              <w:t xml:space="preserve">1,250</w:t>
            </w:r>
          </w:p>
        </w:tc>
        <w:tc>
          <w:tcPr/>
          <w:p>
            <w:pPr>
              <w:pStyle w:val="Compact"/>
              <w:jc w:val="left"/>
            </w:pPr>
            <w:r>
              <w:t xml:space="preserve">7,500</w:t>
            </w:r>
          </w:p>
        </w:tc>
        <w:tc>
          <w:tcPr/>
          <w:p>
            <w:pPr>
              <w:pStyle w:val="Compact"/>
              <w:jc w:val="left"/>
            </w:pPr>
            <w:r>
              <w:t xml:space="preserve">9,375,000</w:t>
            </w:r>
          </w:p>
        </w:tc>
      </w:tr>
      <w:tr>
        <w:tc>
          <w:tcPr/>
          <w:p>
            <w:pPr>
              <w:pStyle w:val="Compact"/>
              <w:jc w:val="left"/>
            </w:pPr>
            <w:r>
              <w:t xml:space="preserve">8</w:t>
            </w:r>
          </w:p>
        </w:tc>
        <w:tc>
          <w:tcPr/>
          <w:p>
            <w:pPr>
              <w:pStyle w:val="Compact"/>
              <w:jc w:val="left"/>
            </w:pPr>
            <w:r>
              <w:t xml:space="preserve">Supply of all masonry materials: cement (Dangote 50kg bags), sharp sand, granite (1/2 inch), water, and binding wire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9</w:t>
            </w:r>
          </w:p>
        </w:tc>
        <w:tc>
          <w:tcPr/>
          <w:p>
            <w:pPr>
              <w:pStyle w:val="Compact"/>
              <w:jc w:val="left"/>
            </w:pPr>
            <w:r>
              <w:t xml:space="preserve">Labour charges: skilled Mason team (12 masons, 4 apprentices, 2 site supervisors) for full project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10</w:t>
            </w:r>
          </w:p>
        </w:tc>
        <w:tc>
          <w:tcPr/>
          <w:p>
            <w:pPr>
              <w:pStyle w:val="Compact"/>
              <w:jc w:val="left"/>
            </w:pPr>
            <w:r>
              <w:t xml:space="preserve">Scaffolding, formwork, and temporary works for masonry construction in Nigeria Lagos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11</w:t>
            </w:r>
          </w:p>
        </w:tc>
        <w:tc>
          <w:tcPr/>
          <w:p>
            <w:pPr>
              <w:pStyle w:val="Compact"/>
              <w:jc w:val="left"/>
            </w:pPr>
            <w:r>
              <w:t xml:space="preserve">Waste removal, site cleanup, and debris disposal in compliance with Lagos State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12</w:t>
            </w:r>
          </w:p>
        </w:tc>
        <w:tc>
          <w:tcPr/>
          <w:p>
            <w:pPr>
              <w:pStyle w:val="Compact"/>
              <w:jc w:val="left"/>
            </w:pPr>
            <w:r>
              <w:t xml:space="preserve">Project management, engineering supervision, and quality assurance for all masonry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42,311,600</w:t>
            </w:r>
          </w:p>
        </w:tc>
      </w:tr>
      <w:tr>
        <w:tc>
          <w:tcPr>
            <w:gridSpan w:val="5"/>
          </w:tcPr>
          <w:p>
            <w:pPr>
              <w:pStyle w:val="Compact"/>
              <w:jc w:val="right"/>
            </w:pPr>
            <w:r>
              <w:t xml:space="preserve">VAT (7.5%):</w:t>
            </w:r>
          </w:p>
        </w:tc>
        <w:tc>
          <w:tcPr/>
          <w:p>
            <w:pPr>
              <w:pStyle w:val="Compact"/>
              <w:jc w:val="left"/>
            </w:pPr>
            <w:r>
              <w:t xml:space="preserve">3,173,370</w:t>
            </w:r>
          </w:p>
        </w:tc>
      </w:tr>
      <w:tr>
        <w:tc>
          <w:tcPr>
            <w:gridSpan w:val="5"/>
          </w:tcPr>
          <w:p>
            <w:pPr>
              <w:pStyle w:val="Compact"/>
              <w:jc w:val="right"/>
            </w:pPr>
            <w:r>
              <w:t xml:space="preserve">TOTAL QUOTATION ESTIMATE (NGN):</w:t>
            </w:r>
          </w:p>
        </w:tc>
        <w:tc>
          <w:tcPr/>
          <w:p>
            <w:pPr>
              <w:pStyle w:val="Compact"/>
              <w:jc w:val="left"/>
            </w:pPr>
            <w:r>
              <w:t xml:space="preserve">45,484,970</w:t>
            </w:r>
          </w:p>
        </w:tc>
      </w:tr>
    </w:tbl>
    <w:p>
      <w:pPr>
        <w:pStyle w:val="BodyText"/>
      </w:pPr>
      <w:r>
        <w:rPr>
          <w:bCs/>
          <w:b/>
        </w:rPr>
        <w:t xml:space="preserve">Total in Words:</w:t>
      </w:r>
      <w:r>
        <w:t xml:space="preserve"> </w:t>
      </w:r>
      <w:r>
        <w:t xml:space="preserve">Forty-Five Million, Four Hundred and Eighty-Four Thousand, Nine Hundred and Seventy Naira Only.</w:t>
      </w:r>
    </w:p>
    <w:p>
      <w:pPr>
        <w:pStyle w:val="BodyText"/>
      </w:pPr>
      <w:r>
        <w:t xml:space="preserve">3. Project Duration and Schedule</w:t>
      </w:r>
    </w:p>
    <w:p>
      <w:pPr>
        <w:pStyle w:val="BodyText"/>
      </w:pPr>
      <w:r>
        <w:t xml:space="preserve">The</w:t>
      </w:r>
      <w:r>
        <w:t xml:space="preserve"> </w:t>
      </w:r>
      <w:r>
        <w:rPr>
          <w:bCs/>
          <w:b/>
        </w:rPr>
        <w:t xml:space="preserve">Mason</w:t>
      </w:r>
      <w:r>
        <w:t xml:space="preserve"> </w:t>
      </w:r>
      <w:r>
        <w:t xml:space="preserve">team shall mobilize to the site in Nigeria Lagos within five (5) working days of receiving the advance payment. The total estimated duration for completion of all masonry works is twelve (12) weeks, subject to weather conditions and timely availability of materials. A detailed weekly work schedule will be provided upon contract execution. The masonry works are sequenced as follows: foundation walling (Weeks 1–3), perimeter and load-bearing walls (Weeks 3–6), internal partitions and brickwork (Weeks 6–9), lintels and ring beams (Weeks 9–10), plastering and finishing (Weeks 10–12).</w:t>
      </w:r>
    </w:p>
    <w:p>
      <w:pPr>
        <w:pStyle w:val="BodyText"/>
      </w:pPr>
      <w:r>
        <w:t xml:space="preserve">4. Payment Terms</w:t>
      </w:r>
    </w:p>
    <w:p>
      <w:pPr>
        <w:numPr>
          <w:ilvl w:val="0"/>
          <w:numId w:val="1001"/>
        </w:numPr>
        <w:pStyle w:val="Compact"/>
      </w:pPr>
      <w:r>
        <w:rPr>
          <w:bCs/>
          <w:b/>
        </w:rPr>
        <w:t xml:space="preserve">Advance Payment (30%):</w:t>
      </w:r>
      <w:r>
        <w:t xml:space="preserve"> </w:t>
      </w:r>
      <w:r>
        <w:t xml:space="preserve">NGN 13,645,491 – payable upon signing of the contract and before mobilization of the Mason team to the Nigeria Lagos site.</w:t>
      </w:r>
    </w:p>
    <w:p>
      <w:pPr>
        <w:numPr>
          <w:ilvl w:val="0"/>
          <w:numId w:val="1001"/>
        </w:numPr>
        <w:pStyle w:val="Compact"/>
      </w:pPr>
      <w:r>
        <w:rPr>
          <w:bCs/>
          <w:b/>
        </w:rPr>
        <w:t xml:space="preserve">Progress Payment 1 (25%):</w:t>
      </w:r>
      <w:r>
        <w:t xml:space="preserve"> </w:t>
      </w:r>
      <w:r>
        <w:t xml:space="preserve">NGN 11,371,243 – payable upon completion of foundation and perimeter walling (end of Week 3).</w:t>
      </w:r>
    </w:p>
    <w:p>
      <w:pPr>
        <w:numPr>
          <w:ilvl w:val="0"/>
          <w:numId w:val="1001"/>
        </w:numPr>
        <w:pStyle w:val="Compact"/>
      </w:pPr>
      <w:r>
        <w:rPr>
          <w:bCs/>
          <w:b/>
        </w:rPr>
        <w:t xml:space="preserve">Progress Payment 2 (25%):</w:t>
      </w:r>
      <w:r>
        <w:t xml:space="preserve"> </w:t>
      </w:r>
      <w:r>
        <w:t xml:space="preserve">NGN 11,371,243 – payable upon completion of all structural masonry and lintel works (end of Week 9).</w:t>
      </w:r>
    </w:p>
    <w:p>
      <w:pPr>
        <w:numPr>
          <w:ilvl w:val="0"/>
          <w:numId w:val="1001"/>
        </w:numPr>
        <w:pStyle w:val="Compact"/>
      </w:pPr>
      <w:r>
        <w:rPr>
          <w:bCs/>
          <w:b/>
        </w:rPr>
        <w:t xml:space="preserve">Final Payment (20%):</w:t>
      </w:r>
      <w:r>
        <w:t xml:space="preserve"> </w:t>
      </w:r>
      <w:r>
        <w:t xml:space="preserve">NGN 9,096,994 – payable upon successful handover, final inspection, and client sign-off (end of Week 12).</w:t>
      </w:r>
    </w:p>
    <w:p>
      <w:pPr>
        <w:pStyle w:val="FirstParagraph"/>
      </w:pPr>
      <w:r>
        <w:t xml:space="preserve">5.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days from the date of issue. Prices are subject to revision based on fluctuations in cement, sand, and block prices in the Nigeria Lagos market.</w:t>
      </w:r>
    </w:p>
    <w:p>
      <w:pPr>
        <w:numPr>
          <w:ilvl w:val="0"/>
          <w:numId w:val="1002"/>
        </w:numPr>
        <w:pStyle w:val="Compact"/>
      </w:pPr>
      <w:r>
        <w:t xml:space="preserve">All masonry work shall be executed in strict compliance with the Nigerian Building Code and LASBCA structural requirements. The Mason team shall ensure all walls meet the specified load-bearing and thermal performance criteria.</w:t>
      </w:r>
    </w:p>
    <w:p>
      <w:pPr>
        <w:numPr>
          <w:ilvl w:val="0"/>
          <w:numId w:val="1002"/>
        </w:numPr>
        <w:pStyle w:val="Compact"/>
      </w:pPr>
      <w:r>
        <w:t xml:space="preserve">The client is responsible for obtaining all necessary building permits, approvals, and land documentation from the Lagos State Government prior to commencement of masonry works.</w:t>
      </w:r>
    </w:p>
    <w:p>
      <w:pPr>
        <w:numPr>
          <w:ilvl w:val="0"/>
          <w:numId w:val="1002"/>
        </w:numPr>
        <w:pStyle w:val="Compact"/>
      </w:pPr>
      <w:r>
        <w:t xml:space="preserve">Any variation or additional masonry work beyond the scope stated in this Quotation Estimate shall be subject to a separate written amendment and additional cost assessment.</w:t>
      </w:r>
    </w:p>
    <w:p>
      <w:pPr>
        <w:numPr>
          <w:ilvl w:val="0"/>
          <w:numId w:val="1002"/>
        </w:numPr>
        <w:pStyle w:val="Compact"/>
      </w:pPr>
      <w:r>
        <w:t xml:space="preserve">A two-year (24-month) defect liability period applies to all masonry works. Any structural cracking, block displacement, or plastering failure within this period shall be rectified at no additional cost to the client.</w:t>
      </w:r>
    </w:p>
    <w:p>
      <w:pPr>
        <w:numPr>
          <w:ilvl w:val="0"/>
          <w:numId w:val="1002"/>
        </w:numPr>
        <w:pStyle w:val="Compact"/>
      </w:pPr>
      <w:r>
        <w:t xml:space="preserve">Disputes arising from this Quotation Estimate shall be resolved through arbitration in Nigeria Lagos in accordance with the Arbitration and Conciliation Act, Cap A18, Laws of the Federation of Nigeria.</w:t>
      </w:r>
    </w:p>
    <w:p>
      <w:pPr>
        <w:numPr>
          <w:ilvl w:val="0"/>
          <w:numId w:val="1002"/>
        </w:numPr>
        <w:pStyle w:val="Compact"/>
      </w:pPr>
      <w:r>
        <w:t xml:space="preserve">All materials used in the masonry works shall be of approved quality. The Mason supervisor shall present material samples for client approval before bulk procurement.</w:t>
      </w:r>
    </w:p>
    <w:p>
      <w:pPr>
        <w:pStyle w:val="FirstParagraph"/>
      </w:pPr>
      <w:r>
        <w:t xml:space="preserve">6.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 masonry works to be executed by our</w:t>
      </w:r>
      <w:r>
        <w:t xml:space="preserve"> </w:t>
      </w:r>
      <w:r>
        <w:rPr>
          <w:bCs/>
          <w:b/>
        </w:rPr>
        <w:t xml:space="preserve">Mason</w:t>
      </w:r>
      <w:r>
        <w:t xml:space="preserve"> </w:t>
      </w:r>
      <w:r>
        <w:t xml:space="preserve">team at the specified property in Nigeria Lagos.</w:t>
      </w:r>
    </w:p>
    <w:p>
      <w:pPr>
        <w:pStyle w:val="BodyText"/>
      </w:pPr>
      <w:r>
        <w:rPr>
          <w:bCs/>
          <w:b/>
        </w:rPr>
        <w:t xml:space="preserve">For: Lagos Building &amp; Construction Services Ltd.</w:t>
      </w:r>
      <w:r>
        <w:br/>
      </w:r>
      <w:r>
        <w:t xml:space="preserve">Engr. Tunde Adebayo</w:t>
      </w:r>
      <w:r>
        <w:br/>
      </w:r>
      <w:r>
        <w:t xml:space="preserve">Senior Mason Supervisor / Project Director</w:t>
      </w:r>
      <w:r>
        <w:br/>
      </w:r>
      <w:r>
        <w:t xml:space="preserve">Date: _______________</w:t>
      </w:r>
    </w:p>
    <w:p>
      <w:pPr>
        <w:pStyle w:val="BodyText"/>
      </w:pPr>
      <w:r>
        <w:rPr>
          <w:bCs/>
          <w:b/>
        </w:rPr>
        <w:t xml:space="preserve">For: Okafor Properties &amp; Holdings Ltd.</w:t>
      </w:r>
      <w:r>
        <w:br/>
      </w:r>
      <w:r>
        <w:t xml:space="preserve">Mr. Chinedu Okafor</w:t>
      </w:r>
      <w:r>
        <w:br/>
      </w:r>
      <w:r>
        <w:t xml:space="preserve">Client / Authorized Signatory</w:t>
      </w:r>
      <w:r>
        <w:br/>
      </w:r>
      <w:r>
        <w:t xml:space="preserve">Date: _______________</w:t>
      </w:r>
    </w:p>
    <w:p>
      <w:pPr>
        <w:pStyle w:val="BodyText"/>
      </w:pPr>
      <w:r>
        <w:t xml:space="preserve">This Quotation Estimate document is the property of Lagos Building &amp; Construction Services Ltd. and is issued exclusively for the client named above. Unauthorized reproduction or distribution is prohibited. All masonry works referenced herein are to be carried out in Nigeria Lagos under the direct supervision of our qualified Mason team. © 2025 Lagos Building &amp; Construction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Nigeria Lagos</dc:title>
  <dc:creator/>
  <dc:language>en</dc:language>
  <cp:keywords/>
  <dcterms:created xsi:type="dcterms:W3CDTF">2026-10-10T01:06:38Z</dcterms:created>
  <dcterms:modified xsi:type="dcterms:W3CDTF">2026-10-10T01:06:38Z</dcterms:modified>
</cp:coreProperties>
</file>

<file path=docProps/custom.xml><?xml version="1.0" encoding="utf-8"?>
<Properties xmlns="http://schemas.openxmlformats.org/officeDocument/2006/custom-properties" xmlns:vt="http://schemas.openxmlformats.org/officeDocument/2006/docPropsVTypes"/>
</file>