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Peru</w:t>
      </w:r>
      <w:r>
        <w:t xml:space="preserve"> </w:t>
      </w:r>
      <w:r>
        <w:t xml:space="preserve">Lima</w:t>
      </w:r>
    </w:p>
    <w:bookmarkStart w:id="20" w:name="andina-mason-construction-s.a.c."/>
    <w:p>
      <w:pPr>
        <w:pStyle w:val="Heading1"/>
      </w:pPr>
      <w:r>
        <w:t xml:space="preserve">Andina Mason &amp; Construction S.A.C.</w:t>
      </w:r>
    </w:p>
    <w:p>
      <w:pPr>
        <w:pStyle w:val="FirstParagraph"/>
      </w:pPr>
      <w:r>
        <w:t xml:space="preserve">Av. Javier Prado Este 1245, San Isidro</w:t>
      </w:r>
    </w:p>
    <w:p>
      <w:pPr>
        <w:pStyle w:val="BodyText"/>
      </w:pPr>
      <w:r>
        <w:t xml:space="preserve">Peru Lima, 15081</w:t>
      </w:r>
    </w:p>
    <w:p>
      <w:pPr>
        <w:pStyle w:val="BodyText"/>
      </w:pPr>
      <w:r>
        <w:t xml:space="preserve">RUC: 20587432190 | Tel: +51 1 445-6789</w:t>
      </w:r>
    </w:p>
    <w:p>
      <w:pPr>
        <w:pStyle w:val="BodyText"/>
      </w:pPr>
      <w:r>
        <w:t xml:space="preserve">info@andinamason.pe</w:t>
      </w:r>
    </w:p>
    <w:bookmarkEnd w:id="20"/>
    <w:p>
      <w:pPr>
        <w:pStyle w:val="BodyText"/>
      </w:pPr>
      <w:r>
        <w:rPr>
          <w:bCs/>
          <w:b/>
        </w:rPr>
        <w:t xml:space="preserve">Document Type:</w:t>
      </w:r>
    </w:p>
    <w:p>
      <w:pPr>
        <w:pStyle w:val="BodyText"/>
      </w:pPr>
      <w:r>
        <w:t xml:space="preserve">QUOTATION ESTIMATE</w:t>
      </w:r>
    </w:p>
    <w:p>
      <w:pPr>
        <w:pStyle w:val="BodyText"/>
      </w:pPr>
      <w:r>
        <w:rPr>
          <w:bCs/>
          <w:b/>
        </w:rPr>
        <w:t xml:space="preserve">Ref. No.:</w:t>
      </w:r>
      <w:r>
        <w:t xml:space="preserve"> </w:t>
      </w:r>
      <w:r>
        <w:t xml:space="preserve">QTE-2025-0847</w:t>
      </w:r>
    </w:p>
    <w:bookmarkStart w:id="21" w:name="quotation-estimate"/>
    <w:p>
      <w:pPr>
        <w:pStyle w:val="Heading2"/>
      </w:pPr>
      <w:r>
        <w:t xml:space="preserve">Quotation Estimate</w:t>
      </w:r>
    </w:p>
    <w:p>
      <w:pPr>
        <w:pStyle w:val="FirstParagraph"/>
      </w:pPr>
      <w:r>
        <w:t xml:space="preserve">Masonry Services &amp; Construction Works — Peru Lima</w:t>
      </w:r>
    </w:p>
    <w:bookmarkEnd w:id="21"/>
    <w:bookmarkStart w:id="22" w:name="prepared-for-client"/>
    <w:p>
      <w:pPr>
        <w:pStyle w:val="Heading3"/>
      </w:pPr>
      <w:r>
        <w:t xml:space="preserve">Prepared For (Client)</w:t>
      </w:r>
    </w:p>
    <w:p>
      <w:pPr>
        <w:pStyle w:val="FirstParagraph"/>
      </w:pPr>
      <w:r>
        <w:rPr>
          <w:bCs/>
          <w:b/>
        </w:rPr>
        <w:t xml:space="preserve">Name:</w:t>
      </w:r>
      <w:r>
        <w:t xml:space="preserve"> </w:t>
      </w:r>
      <w:r>
        <w:t xml:space="preserve">Ing. Carlos Mendoza Ríos</w:t>
      </w:r>
    </w:p>
    <w:p>
      <w:pPr>
        <w:pStyle w:val="BodyText"/>
      </w:pPr>
      <w:r>
        <w:rPr>
          <w:bCs/>
          <w:b/>
        </w:rPr>
        <w:t xml:space="preserve">Company:</w:t>
      </w:r>
      <w:r>
        <w:t xml:space="preserve"> </w:t>
      </w:r>
      <w:r>
        <w:t xml:space="preserve">Inversiones del Pacífico S.A.C.</w:t>
      </w:r>
    </w:p>
    <w:p>
      <w:pPr>
        <w:pStyle w:val="BodyText"/>
      </w:pPr>
      <w:r>
        <w:rPr>
          <w:bCs/>
          <w:b/>
        </w:rPr>
        <w:t xml:space="preserve">Address:</w:t>
      </w:r>
      <w:r>
        <w:t xml:space="preserve"> </w:t>
      </w:r>
      <w:r>
        <w:t xml:space="preserve">Jr. Las Begonias 892, Miraflores</w:t>
      </w:r>
    </w:p>
    <w:p>
      <w:pPr>
        <w:pStyle w:val="BodyText"/>
      </w:pPr>
      <w:r>
        <w:t xml:space="preserve">Peru Lima, 15074</w:t>
      </w:r>
    </w:p>
    <w:p>
      <w:pPr>
        <w:pStyle w:val="BodyText"/>
      </w:pPr>
      <w:r>
        <w:rPr>
          <w:bCs/>
          <w:b/>
        </w:rPr>
        <w:t xml:space="preserve">Contact:</w:t>
      </w:r>
      <w:r>
        <w:t xml:space="preserve"> </w:t>
      </w:r>
      <w:r>
        <w:t xml:space="preserve">+51 987 654 321</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Residential Masonry Renovation</w:t>
      </w:r>
    </w:p>
    <w:p>
      <w:pPr>
        <w:pStyle w:val="BodyText"/>
      </w:pPr>
      <w:r>
        <w:rPr>
          <w:bCs/>
          <w:b/>
        </w:rPr>
        <w:t xml:space="preserve">Location:</w:t>
      </w:r>
      <w:r>
        <w:t xml:space="preserve"> </w:t>
      </w:r>
      <w:r>
        <w:t xml:space="preserve">Av. La Marina 2340, Miraflores</w:t>
      </w:r>
    </w:p>
    <w:p>
      <w:pPr>
        <w:pStyle w:val="BodyText"/>
      </w:pPr>
      <w:r>
        <w:t xml:space="preserve">Peru Lima, 15074</w:t>
      </w:r>
    </w:p>
    <w:p>
      <w:pPr>
        <w:pStyle w:val="BodyText"/>
      </w:pPr>
      <w:r>
        <w:rPr>
          <w:bCs/>
          <w:b/>
        </w:rPr>
        <w:t xml:space="preserve">Estimated Duration:</w:t>
      </w:r>
      <w:r>
        <w:t xml:space="preserve"> </w:t>
      </w:r>
      <w:r>
        <w:t xml:space="preserve">45 calendar days</w:t>
      </w:r>
    </w:p>
    <w:p>
      <w:pPr>
        <w:pStyle w:val="BodyText"/>
      </w:pPr>
      <w:r>
        <w:rPr>
          <w:bCs/>
          <w:b/>
        </w:rPr>
        <w:t xml:space="preserve">Start Date:</w:t>
      </w:r>
      <w:r>
        <w:t xml:space="preserve"> </w:t>
      </w:r>
      <w:r>
        <w:t xml:space="preserve">15 July 2025</w:t>
      </w:r>
    </w:p>
    <w:bookmarkEnd w:id="23"/>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Date</w:t>
            </w:r>
          </w:p>
        </w:tc>
        <w:tc>
          <w:tcPr/>
          <w:p>
            <w:pPr>
              <w:pStyle w:val="Compact"/>
              <w:jc w:val="left"/>
            </w:pPr>
            <w:r>
              <w:t xml:space="preserve">01 July 2025</w:t>
            </w:r>
          </w:p>
        </w:tc>
      </w:tr>
      <w:tr>
        <w:tc>
          <w:tcPr/>
          <w:p>
            <w:pPr>
              <w:pStyle w:val="Compact"/>
              <w:jc w:val="left"/>
            </w:pPr>
            <w:r>
              <w:t xml:space="preserve">Validity Period</w:t>
            </w:r>
          </w:p>
        </w:tc>
        <w:tc>
          <w:tcPr/>
          <w:p>
            <w:pPr>
              <w:pStyle w:val="Compact"/>
              <w:jc w:val="left"/>
            </w:pPr>
            <w:r>
              <w:t xml:space="preserve">30 calendar days from the date of issue (expires 31 July 2025)</w:t>
            </w:r>
          </w:p>
        </w:tc>
      </w:tr>
      <w:tr>
        <w:tc>
          <w:tcPr/>
          <w:p>
            <w:pPr>
              <w:pStyle w:val="Compact"/>
              <w:jc w:val="left"/>
            </w:pPr>
            <w:r>
              <w:t xml:space="preserve">Currency</w:t>
            </w:r>
          </w:p>
        </w:tc>
        <w:tc>
          <w:tcPr/>
          <w:p>
            <w:pPr>
              <w:pStyle w:val="Compact"/>
              <w:jc w:val="left"/>
            </w:pPr>
            <w:r>
              <w:t xml:space="preserve">Peruvian Sol (PEN / S/)</w:t>
            </w:r>
          </w:p>
        </w:tc>
      </w:tr>
      <w:tr>
        <w:tc>
          <w:tcPr/>
          <w:p>
            <w:pPr>
              <w:pStyle w:val="Compact"/>
              <w:jc w:val="left"/>
            </w:pPr>
            <w:r>
              <w:t xml:space="preserve">Prepared By</w:t>
            </w:r>
          </w:p>
        </w:tc>
        <w:tc>
          <w:tcPr/>
          <w:p>
            <w:pPr>
              <w:pStyle w:val="Compact"/>
              <w:jc w:val="left"/>
            </w:pPr>
            <w:r>
              <w:t xml:space="preserve">Ing. Roberto Salazar Vega — Senior Mason &amp; Project Supervisor</w:t>
            </w:r>
          </w:p>
        </w:tc>
      </w:tr>
    </w:tbl>
    <w:bookmarkStart w:id="24" w:name="X6380c7530f2df38ca9e040eaced24e0b837729d"/>
    <w:p>
      <w:pPr>
        <w:pStyle w:val="Heading3"/>
      </w:pPr>
      <w:r>
        <w:t xml:space="preserve">1. Scope of Work — Mason Services in Peru Lima</w:t>
      </w:r>
    </w:p>
    <w:p>
      <w:pPr>
        <w:pStyle w:val="FirstParagraph"/>
      </w:pPr>
      <w:r>
        <w:t xml:space="preserve">This</w:t>
      </w:r>
      <w:r>
        <w:t xml:space="preserve"> </w:t>
      </w:r>
      <w:r>
        <w:t xml:space="preserve">Quotation Estimate</w:t>
      </w:r>
      <w:r>
        <w:t xml:space="preserve"> </w:t>
      </w:r>
      <w:r>
        <w:t xml:space="preserve">is issued by Andina Mason &amp; Construction S.A.C. to provide a comprehensive breakdown of costs for professional</w:t>
      </w:r>
      <w:r>
        <w:t xml:space="preserve"> </w:t>
      </w:r>
      <w:r>
        <w:t xml:space="preserve">Mason</w:t>
      </w:r>
      <w:r>
        <w:t xml:space="preserve"> </w:t>
      </w:r>
      <w:r>
        <w:t xml:space="preserve">services to be executed at the client's residential property located in</w:t>
      </w:r>
      <w:r>
        <w:t xml:space="preserve"> </w:t>
      </w:r>
      <w:r>
        <w:t xml:space="preserve">Peru Lima</w:t>
      </w:r>
      <w:r>
        <w:t xml:space="preserve">. The scope encompasses all masonry, structural, and finishing works as detailed below. All work will comply with the Peruvian Building Regulations (Reglamento Nacional de Edificaciones — RNE) and local municipal codes applicable in the Lima metropolitan area.</w:t>
      </w:r>
    </w:p>
    <w:p>
      <w:pPr>
        <w:numPr>
          <w:ilvl w:val="0"/>
          <w:numId w:val="1001"/>
        </w:numPr>
        <w:pStyle w:val="Compact"/>
      </w:pPr>
      <w:r>
        <w:t xml:space="preserve">Demolition and removal of existing masonry walls (approximately 120 m²) in the ground and first floor of the residence.</w:t>
      </w:r>
    </w:p>
    <w:p>
      <w:pPr>
        <w:numPr>
          <w:ilvl w:val="0"/>
          <w:numId w:val="1001"/>
        </w:numPr>
        <w:pStyle w:val="Compact"/>
      </w:pPr>
      <w:r>
        <w:t xml:space="preserve">Construction of new load-bearing and non-load-bearing masonry walls using 15 cm and 30 cm solid clay bricks, mixed with Portland cement, sand, and water at a ratio of 1:5.</w:t>
      </w:r>
    </w:p>
    <w:p>
      <w:pPr>
        <w:numPr>
          <w:ilvl w:val="0"/>
          <w:numId w:val="1001"/>
        </w:numPr>
        <w:pStyle w:val="Compact"/>
      </w:pPr>
      <w:r>
        <w:t xml:space="preserve">Installation of reinforced concrete lintels, ring beams, and column ties (pilares de atado) in accordance with seismic design requirements for Peru Lima.</w:t>
      </w:r>
    </w:p>
    <w:p>
      <w:pPr>
        <w:numPr>
          <w:ilvl w:val="0"/>
          <w:numId w:val="1001"/>
        </w:numPr>
        <w:pStyle w:val="Compact"/>
      </w:pPr>
      <w:r>
        <w:t xml:space="preserve">Application of cement mortar plaster (enlucido) on both interior and exterior faces of all new masonry walls, minimum 2 cm thickness per coat, two coats total.</w:t>
      </w:r>
    </w:p>
    <w:p>
      <w:pPr>
        <w:numPr>
          <w:ilvl w:val="0"/>
          <w:numId w:val="1001"/>
        </w:numPr>
        <w:pStyle w:val="Compact"/>
      </w:pPr>
      <w:r>
        <w:t xml:space="preserve">Construction of a new masonry staircase with 14 steps, including stringers, treads, and risers, finished with polished granite tiles.</w:t>
      </w:r>
    </w:p>
    <w:p>
      <w:pPr>
        <w:numPr>
          <w:ilvl w:val="0"/>
          <w:numId w:val="1001"/>
        </w:numPr>
        <w:pStyle w:val="Compact"/>
      </w:pPr>
      <w:r>
        <w:t xml:space="preserve">Building of a masonry retaining wall (4.5 m length × 1.8 m height) in the rear garden, incorporating a drainage system.</w:t>
      </w:r>
    </w:p>
    <w:p>
      <w:pPr>
        <w:numPr>
          <w:ilvl w:val="0"/>
          <w:numId w:val="1001"/>
        </w:numPr>
        <w:pStyle w:val="Compact"/>
      </w:pPr>
      <w:r>
        <w:t xml:space="preserve">Installation of a masonry fireplace surround and hearth in the living room, using refractory bricks and decorative stone cladding.</w:t>
      </w:r>
    </w:p>
    <w:p>
      <w:pPr>
        <w:numPr>
          <w:ilvl w:val="0"/>
          <w:numId w:val="1001"/>
        </w:numPr>
        <w:pStyle w:val="Compact"/>
      </w:pPr>
      <w:r>
        <w:t xml:space="preserve">Site cleanup, debris removal, and disposal at an authorized municipal dump site in Peru Lima.</w:t>
      </w:r>
    </w:p>
    <w:bookmarkEnd w:id="24"/>
    <w:bookmarkStart w:id="25"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Mason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(S/)</w:t>
            </w:r>
          </w:p>
        </w:tc>
        <w:tc>
          <w:tcPr/>
          <w:p>
            <w:pPr>
              <w:pStyle w:val="Compact"/>
              <w:jc w:val="left"/>
            </w:pPr>
            <w:r>
              <w:t xml:space="preserve">Total (S/)</w:t>
            </w:r>
          </w:p>
        </w:tc>
      </w:tr>
      <w:tr>
        <w:tc>
          <w:tcPr/>
          <w:p>
            <w:pPr>
              <w:pStyle w:val="Compact"/>
              <w:jc w:val="left"/>
            </w:pPr>
            <w:r>
              <w:t xml:space="preserve">01</w:t>
            </w:r>
          </w:p>
        </w:tc>
        <w:tc>
          <w:tcPr/>
          <w:p>
            <w:pPr>
              <w:pStyle w:val="Compact"/>
              <w:jc w:val="left"/>
            </w:pPr>
            <w:r>
              <w:t xml:space="preserve">Demolition of existing masonry walls including debris removal</w:t>
            </w:r>
          </w:p>
        </w:tc>
        <w:tc>
          <w:tcPr/>
          <w:p>
            <w:pPr>
              <w:pStyle w:val="Compact"/>
              <w:jc w:val="left"/>
            </w:pPr>
            <w:r>
              <w:t xml:space="preserve">m²</w:t>
            </w:r>
          </w:p>
        </w:tc>
        <w:tc>
          <w:tcPr/>
          <w:p>
            <w:pPr>
              <w:pStyle w:val="Compact"/>
              <w:jc w:val="left"/>
            </w:pPr>
            <w:r>
              <w:t xml:space="preserve">120</w:t>
            </w:r>
          </w:p>
        </w:tc>
        <w:tc>
          <w:tcPr/>
          <w:p>
            <w:pPr>
              <w:pStyle w:val="Compact"/>
              <w:jc w:val="left"/>
            </w:pPr>
            <w:r>
              <w:t xml:space="preserve">45.00</w:t>
            </w:r>
          </w:p>
        </w:tc>
        <w:tc>
          <w:tcPr/>
          <w:p>
            <w:pPr>
              <w:pStyle w:val="Compact"/>
              <w:jc w:val="left"/>
            </w:pPr>
            <w:r>
              <w:t xml:space="preserve">5,400.00</w:t>
            </w:r>
          </w:p>
        </w:tc>
      </w:tr>
      <w:tr>
        <w:tc>
          <w:tcPr/>
          <w:p>
            <w:pPr>
              <w:pStyle w:val="Compact"/>
              <w:jc w:val="left"/>
            </w:pPr>
            <w:r>
              <w:t xml:space="preserve">02</w:t>
            </w:r>
          </w:p>
        </w:tc>
        <w:tc>
          <w:tcPr/>
          <w:p>
            <w:pPr>
              <w:pStyle w:val="Compact"/>
              <w:jc w:val="left"/>
            </w:pPr>
            <w:r>
              <w:t xml:space="preserve">Construction of new masonry walls (15 cm solid brick, cement mortar)</w:t>
            </w:r>
          </w:p>
        </w:tc>
        <w:tc>
          <w:tcPr/>
          <w:p>
            <w:pPr>
              <w:pStyle w:val="Compact"/>
              <w:jc w:val="left"/>
            </w:pPr>
            <w:r>
              <w:t xml:space="preserve">m²</w:t>
            </w:r>
          </w:p>
        </w:tc>
        <w:tc>
          <w:tcPr/>
          <w:p>
            <w:pPr>
              <w:pStyle w:val="Compact"/>
              <w:jc w:val="left"/>
            </w:pPr>
            <w:r>
              <w:t xml:space="preserve">95</w:t>
            </w:r>
          </w:p>
        </w:tc>
        <w:tc>
          <w:tcPr/>
          <w:p>
            <w:pPr>
              <w:pStyle w:val="Compact"/>
              <w:jc w:val="left"/>
            </w:pPr>
            <w:r>
              <w:t xml:space="preserve">185.00</w:t>
            </w:r>
          </w:p>
        </w:tc>
        <w:tc>
          <w:tcPr/>
          <w:p>
            <w:pPr>
              <w:pStyle w:val="Compact"/>
              <w:jc w:val="left"/>
            </w:pPr>
            <w:r>
              <w:t xml:space="preserve">17,575.00</w:t>
            </w:r>
          </w:p>
        </w:tc>
      </w:tr>
      <w:tr>
        <w:tc>
          <w:tcPr/>
          <w:p>
            <w:pPr>
              <w:pStyle w:val="Compact"/>
              <w:jc w:val="left"/>
            </w:pPr>
            <w:r>
              <w:t xml:space="preserve">03</w:t>
            </w:r>
          </w:p>
        </w:tc>
        <w:tc>
          <w:tcPr/>
          <w:p>
            <w:pPr>
              <w:pStyle w:val="Compact"/>
              <w:jc w:val="left"/>
            </w:pPr>
            <w:r>
              <w:t xml:space="preserve">Construction of 30 cm load-bearing masonry walls with reinforcement</w:t>
            </w:r>
          </w:p>
        </w:tc>
        <w:tc>
          <w:tcPr/>
          <w:p>
            <w:pPr>
              <w:pStyle w:val="Compact"/>
              <w:jc w:val="left"/>
            </w:pPr>
            <w:r>
              <w:t xml:space="preserve">m²</w:t>
            </w:r>
          </w:p>
        </w:tc>
        <w:tc>
          <w:tcPr/>
          <w:p>
            <w:pPr>
              <w:pStyle w:val="Compact"/>
              <w:jc w:val="left"/>
            </w:pPr>
            <w:r>
              <w:t xml:space="preserve">38</w:t>
            </w:r>
          </w:p>
        </w:tc>
        <w:tc>
          <w:tcPr/>
          <w:p>
            <w:pPr>
              <w:pStyle w:val="Compact"/>
              <w:jc w:val="left"/>
            </w:pPr>
            <w:r>
              <w:t xml:space="preserve">265.00</w:t>
            </w:r>
          </w:p>
        </w:tc>
        <w:tc>
          <w:tcPr/>
          <w:p>
            <w:pPr>
              <w:pStyle w:val="Compact"/>
              <w:jc w:val="left"/>
            </w:pPr>
            <w:r>
              <w:t xml:space="preserve">10,070.00</w:t>
            </w:r>
          </w:p>
        </w:tc>
      </w:tr>
      <w:tr>
        <w:tc>
          <w:tcPr/>
          <w:p>
            <w:pPr>
              <w:pStyle w:val="Compact"/>
              <w:jc w:val="left"/>
            </w:pPr>
            <w:r>
              <w:t xml:space="preserve">04</w:t>
            </w:r>
          </w:p>
        </w:tc>
        <w:tc>
          <w:tcPr/>
          <w:p>
            <w:pPr>
              <w:pStyle w:val="Compact"/>
              <w:jc w:val="left"/>
            </w:pPr>
            <w:r>
              <w:t xml:space="preserve">Reinforced concrete lintels and ring beams (seismic design, Peru Lima)</w:t>
            </w:r>
          </w:p>
        </w:tc>
        <w:tc>
          <w:tcPr/>
          <w:p>
            <w:pPr>
              <w:pStyle w:val="Compact"/>
              <w:jc w:val="left"/>
            </w:pPr>
            <w:r>
              <w:t xml:space="preserve">ml</w:t>
            </w:r>
          </w:p>
        </w:tc>
        <w:tc>
          <w:tcPr/>
          <w:p>
            <w:pPr>
              <w:pStyle w:val="Compact"/>
              <w:jc w:val="left"/>
            </w:pPr>
            <w:r>
              <w:t xml:space="preserve">62</w:t>
            </w:r>
          </w:p>
        </w:tc>
        <w:tc>
          <w:tcPr/>
          <w:p>
            <w:pPr>
              <w:pStyle w:val="Compact"/>
              <w:jc w:val="left"/>
            </w:pPr>
            <w:r>
              <w:t xml:space="preserve">320.00</w:t>
            </w:r>
          </w:p>
        </w:tc>
        <w:tc>
          <w:tcPr/>
          <w:p>
            <w:pPr>
              <w:pStyle w:val="Compact"/>
              <w:jc w:val="left"/>
            </w:pPr>
            <w:r>
              <w:t xml:space="preserve">19,840.00</w:t>
            </w:r>
          </w:p>
        </w:tc>
      </w:tr>
      <w:tr>
        <w:tc>
          <w:tcPr/>
          <w:p>
            <w:pPr>
              <w:pStyle w:val="Compact"/>
              <w:jc w:val="left"/>
            </w:pPr>
            <w:r>
              <w:t xml:space="preserve">05</w:t>
            </w:r>
          </w:p>
        </w:tc>
        <w:tc>
          <w:tcPr/>
          <w:p>
            <w:pPr>
              <w:pStyle w:val="Compact"/>
              <w:jc w:val="left"/>
            </w:pPr>
            <w:r>
              <w:t xml:space="preserve">Cement mortar plaster, two coats, interior and exterior (min. 4 cm total)</w:t>
            </w:r>
          </w:p>
        </w:tc>
        <w:tc>
          <w:tcPr/>
          <w:p>
            <w:pPr>
              <w:pStyle w:val="Compact"/>
              <w:jc w:val="left"/>
            </w:pPr>
            <w:r>
              <w:t xml:space="preserve">m²</w:t>
            </w:r>
          </w:p>
        </w:tc>
        <w:tc>
          <w:tcPr/>
          <w:p>
            <w:pPr>
              <w:pStyle w:val="Compact"/>
              <w:jc w:val="left"/>
            </w:pPr>
            <w:r>
              <w:t xml:space="preserve">310</w:t>
            </w:r>
          </w:p>
        </w:tc>
        <w:tc>
          <w:tcPr/>
          <w:p>
            <w:pPr>
              <w:pStyle w:val="Compact"/>
              <w:jc w:val="left"/>
            </w:pPr>
            <w:r>
              <w:t xml:space="preserve">58.00</w:t>
            </w:r>
          </w:p>
        </w:tc>
        <w:tc>
          <w:tcPr/>
          <w:p>
            <w:pPr>
              <w:pStyle w:val="Compact"/>
              <w:jc w:val="left"/>
            </w:pPr>
            <w:r>
              <w:t xml:space="preserve">17,980.00</w:t>
            </w:r>
          </w:p>
        </w:tc>
      </w:tr>
      <w:tr>
        <w:tc>
          <w:tcPr/>
          <w:p>
            <w:pPr>
              <w:pStyle w:val="Compact"/>
              <w:jc w:val="left"/>
            </w:pPr>
            <w:r>
              <w:t xml:space="preserve">06</w:t>
            </w:r>
          </w:p>
        </w:tc>
        <w:tc>
          <w:tcPr/>
          <w:p>
            <w:pPr>
              <w:pStyle w:val="Compact"/>
              <w:jc w:val="left"/>
            </w:pPr>
            <w:r>
              <w:t xml:space="preserve">Masonry staircase with 14 steps, granite tile finish</w:t>
            </w:r>
          </w:p>
        </w:tc>
        <w:tc>
          <w:tcPr/>
          <w:p>
            <w:pPr>
              <w:pStyle w:val="Compact"/>
              <w:jc w:val="left"/>
            </w:pPr>
            <w:r>
              <w:t xml:space="preserve">Lot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07</w:t>
            </w:r>
          </w:p>
        </w:tc>
        <w:tc>
          <w:tcPr/>
          <w:p>
            <w:pPr>
              <w:pStyle w:val="Compact"/>
              <w:jc w:val="left"/>
            </w:pPr>
            <w:r>
              <w:t xml:space="preserve">Masonry retaining wall with drainage (4.5 m × 1.8 m)</w:t>
            </w:r>
          </w:p>
        </w:tc>
        <w:tc>
          <w:tcPr/>
          <w:p>
            <w:pPr>
              <w:pStyle w:val="Compact"/>
              <w:jc w:val="left"/>
            </w:pPr>
            <w:r>
              <w:t xml:space="preserve">Lot</w:t>
            </w:r>
          </w:p>
        </w:tc>
        <w:tc>
          <w:tcPr/>
          <w:p>
            <w:pPr>
              <w:pStyle w:val="Compact"/>
              <w:jc w:val="left"/>
            </w:pPr>
            <w:r>
              <w:t xml:space="preserve">1</w:t>
            </w:r>
          </w:p>
        </w:tc>
        <w:tc>
          <w:tcPr/>
          <w:p>
            <w:pPr>
              <w:pStyle w:val="Compact"/>
              <w:jc w:val="left"/>
            </w:pPr>
            <w:r>
              <w:t xml:space="preserve">8,900.00</w:t>
            </w:r>
          </w:p>
        </w:tc>
        <w:tc>
          <w:tcPr/>
          <w:p>
            <w:pPr>
              <w:pStyle w:val="Compact"/>
              <w:jc w:val="left"/>
            </w:pPr>
            <w:r>
              <w:t xml:space="preserve">8,900.00</w:t>
            </w:r>
          </w:p>
        </w:tc>
      </w:tr>
      <w:tr>
        <w:tc>
          <w:tcPr/>
          <w:p>
            <w:pPr>
              <w:pStyle w:val="Compact"/>
              <w:jc w:val="left"/>
            </w:pPr>
            <w:r>
              <w:t xml:space="preserve">08</w:t>
            </w:r>
          </w:p>
        </w:tc>
        <w:tc>
          <w:tcPr/>
          <w:p>
            <w:pPr>
              <w:pStyle w:val="Compact"/>
              <w:jc w:val="left"/>
            </w:pPr>
            <w:r>
              <w:t xml:space="preserve">Masonry fireplace surround with refractory brick and stone cladding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09</w:t>
            </w:r>
          </w:p>
        </w:tc>
        <w:tc>
          <w:tcPr/>
          <w:p>
            <w:pPr>
              <w:pStyle w:val="Compact"/>
              <w:jc w:val="left"/>
            </w:pPr>
            <w:r>
              <w:t xml:space="preserve">Site supervision by certified Mason and project engineer (45 days)</w:t>
            </w:r>
          </w:p>
        </w:tc>
        <w:tc>
          <w:tcPr/>
          <w:p>
            <w:pPr>
              <w:pStyle w:val="Compact"/>
              <w:jc w:val="left"/>
            </w:pPr>
            <w:r>
              <w:t xml:space="preserve">Day</w:t>
            </w:r>
          </w:p>
        </w:tc>
        <w:tc>
          <w:tcPr/>
          <w:p>
            <w:pPr>
              <w:pStyle w:val="Compact"/>
              <w:jc w:val="left"/>
            </w:pPr>
            <w:r>
              <w:t xml:space="preserve">45</w:t>
            </w:r>
          </w:p>
        </w:tc>
        <w:tc>
          <w:tcPr/>
          <w:p>
            <w:pPr>
              <w:pStyle w:val="Compact"/>
              <w:jc w:val="left"/>
            </w:pPr>
            <w:r>
              <w:t xml:space="preserve">180.00</w:t>
            </w:r>
          </w:p>
        </w:tc>
        <w:tc>
          <w:tcPr/>
          <w:p>
            <w:pPr>
              <w:pStyle w:val="Compact"/>
              <w:jc w:val="left"/>
            </w:pPr>
            <w:r>
              <w:t xml:space="preserve">8,100.00</w:t>
            </w:r>
          </w:p>
        </w:tc>
      </w:tr>
      <w:tr>
        <w:tc>
          <w:tcPr/>
          <w:p>
            <w:pPr>
              <w:pStyle w:val="Compact"/>
              <w:jc w:val="left"/>
            </w:pPr>
            <w:r>
              <w:t xml:space="preserve">10</w:t>
            </w:r>
          </w:p>
        </w:tc>
        <w:tc>
          <w:tcPr/>
          <w:p>
            <w:pPr>
              <w:pStyle w:val="Compact"/>
              <w:jc w:val="left"/>
            </w:pPr>
            <w:r>
              <w:t xml:space="preserve">Material transport, scaffolding, and site logistics in Peru Lima</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 111,065.00</w:t>
            </w:r>
          </w:p>
        </w:tc>
      </w:tr>
      <w:tr>
        <w:tc>
          <w:tcPr/>
          <w:p>
            <w:pPr>
              <w:pStyle w:val="Compact"/>
              <w:jc w:val="left"/>
            </w:pPr>
            <w:r>
              <w:t xml:space="preserve">IGV (18%)</w:t>
            </w:r>
          </w:p>
        </w:tc>
        <w:tc>
          <w:tcPr/>
          <w:p>
            <w:pPr>
              <w:pStyle w:val="Compact"/>
              <w:jc w:val="left"/>
            </w:pPr>
            <w:r>
              <w:t xml:space="preserve">S/ 19,991.70</w:t>
            </w:r>
          </w:p>
        </w:tc>
      </w:tr>
      <w:tr>
        <w:tc>
          <w:tcPr/>
          <w:p>
            <w:pPr>
              <w:pStyle w:val="Compact"/>
              <w:jc w:val="left"/>
            </w:pPr>
            <w:r>
              <w:t xml:space="preserve">Grand Total</w:t>
            </w:r>
          </w:p>
        </w:tc>
        <w:tc>
          <w:tcPr/>
          <w:p>
            <w:pPr>
              <w:pStyle w:val="Compact"/>
              <w:jc w:val="left"/>
            </w:pPr>
            <w:r>
              <w:t xml:space="preserve">S/ 131,056.70</w:t>
            </w:r>
          </w:p>
        </w:tc>
      </w:tr>
    </w:tbl>
    <w:bookmarkEnd w:id="25"/>
    <w:bookmarkStart w:id="26" w:name="terms-and-conditions"/>
    <w:p>
      <w:pPr>
        <w:pStyle w:val="Heading3"/>
      </w:pPr>
      <w:r>
        <w:t xml:space="preserve">3.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issue date. After the expiration date, prices may be subject to revision due to fluctuations in material costs in the Peru Lima market.</w:t>
      </w:r>
    </w:p>
    <w:p>
      <w:pPr>
        <w:numPr>
          <w:ilvl w:val="0"/>
          <w:numId w:val="1002"/>
        </w:numPr>
        <w:pStyle w:val="Compact"/>
      </w:pPr>
      <w:r>
        <w:t xml:space="preserve">Payment terms: 30% advance payment upon signing the contract, 40% upon completion of structural masonry works, and 30% upon final acceptance and site handover.</w:t>
      </w:r>
    </w:p>
    <w:p>
      <w:pPr>
        <w:numPr>
          <w:ilvl w:val="0"/>
          <w:numId w:val="1002"/>
        </w:numPr>
        <w:pStyle w:val="Compact"/>
      </w:pPr>
      <w:r>
        <w:t xml:space="preserve">All masonry work will be executed by qualified and experienced</w:t>
      </w:r>
      <w:r>
        <w:t xml:space="preserve"> </w:t>
      </w:r>
      <w:r>
        <w:t xml:space="preserve">Mason</w:t>
      </w:r>
      <w:r>
        <w:t xml:space="preserve"> </w:t>
      </w:r>
      <w:r>
        <w:t xml:space="preserve">professionals registered with the Peruvian Chamber of Construction (Cámara Peruana de la Construcción — CPC).</w:t>
      </w:r>
    </w:p>
    <w:p>
      <w:pPr>
        <w:numPr>
          <w:ilvl w:val="0"/>
          <w:numId w:val="1002"/>
        </w:numPr>
        <w:pStyle w:val="Compact"/>
      </w:pPr>
      <w:r>
        <w:t xml:space="preserve">The contractor shall provide all necessary materials, tools, and equipment unless otherwise specified in writing. The client is responsible for obtaining all municipal permits and building licenses required by the municipality of Miraflores, Peru Lima.</w:t>
      </w:r>
    </w:p>
    <w:p>
      <w:pPr>
        <w:numPr>
          <w:ilvl w:val="0"/>
          <w:numId w:val="1002"/>
        </w:numPr>
        <w:pStyle w:val="Compact"/>
      </w:pPr>
      <w:r>
        <w:t xml:space="preserve">A warranty of twelve (12) months is provided on all masonry and structural works from the date of final acceptance. This warranty covers defects in workmanship and materials but does not cover damage caused by natural disasters, improper use, or unauthorized modifications.</w:t>
      </w:r>
    </w:p>
    <w:p>
      <w:pPr>
        <w:numPr>
          <w:ilvl w:val="0"/>
          <w:numId w:val="1002"/>
        </w:numPr>
        <w:pStyle w:val="Compact"/>
      </w:pPr>
      <w:r>
        <w:t xml:space="preserve">Any additional work or changes to the original scope must be approved in writing by both parties and will be billed as a separate addendum to this Quotation Estimate.</w:t>
      </w:r>
    </w:p>
    <w:p>
      <w:pPr>
        <w:numPr>
          <w:ilvl w:val="0"/>
          <w:numId w:val="1002"/>
        </w:numPr>
        <w:pStyle w:val="Compact"/>
      </w:pPr>
      <w:r>
        <w:t xml:space="preserve">The project schedule of 45 calendar days assumes normal working conditions. Delays caused by adverse weather, municipal inspections, or force majeure events in Peru Lima will be documented and the timeline adjusted accordingly.</w:t>
      </w:r>
    </w:p>
    <w:p>
      <w:pPr>
        <w:numPr>
          <w:ilvl w:val="0"/>
          <w:numId w:val="1002"/>
        </w:numPr>
        <w:pStyle w:val="Compact"/>
      </w:pPr>
      <w:r>
        <w:t xml:space="preserve">All debris and construction waste will be disposed of in compliance with the environmental regulations of the Metropolitan Government of Lima (Municipalidad Metropolitana de Lima).</w:t>
      </w:r>
    </w:p>
    <w:p>
      <w:pPr>
        <w:numPr>
          <w:ilvl w:val="0"/>
          <w:numId w:val="1002"/>
        </w:numPr>
        <w:pStyle w:val="Compact"/>
      </w:pPr>
      <w:r>
        <w:t xml:space="preserve">This Quotation Estimate does not constitute a binding contract until both parties have signed the formal service agreement. The terms herein are for estimation purposes only.</w:t>
      </w:r>
    </w:p>
    <w:p>
      <w:pPr>
        <w:pStyle w:val="FirstParagraph"/>
      </w:pPr>
      <w:r>
        <w:rPr>
          <w:bCs/>
          <w:b/>
        </w:rPr>
        <w:t xml:space="preserve">Andina Mason &amp; Construction S.A.C.</w:t>
      </w:r>
      <w:r>
        <w:br/>
      </w:r>
      <w:r>
        <w:t xml:space="preserve">Ing. Roberto Salazar Vega</w:t>
      </w:r>
      <w:r>
        <w:br/>
      </w:r>
      <w:r>
        <w:t xml:space="preserve">Senior Mason &amp; Project Supervisor</w:t>
      </w:r>
      <w:r>
        <w:br/>
      </w:r>
      <w:r>
        <w:t xml:space="preserve">Date: _______________</w:t>
      </w:r>
    </w:p>
    <w:p>
      <w:pPr>
        <w:pStyle w:val="BodyText"/>
      </w:pPr>
      <w:r>
        <w:rPr>
          <w:bCs/>
          <w:b/>
        </w:rPr>
        <w:t xml:space="preserve">Client Acceptance</w:t>
      </w:r>
      <w:r>
        <w:br/>
      </w:r>
      <w:r>
        <w:t xml:space="preserve">Ing. Carlos Mendoza Ríos</w:t>
      </w:r>
      <w:r>
        <w:br/>
      </w:r>
      <w:r>
        <w:t xml:space="preserve">Inversiones del Pacífico S.A.C.</w:t>
      </w:r>
      <w:r>
        <w:br/>
      </w:r>
      <w:r>
        <w:t xml:space="preserve">Date: _______________</w:t>
      </w:r>
    </w:p>
    <w:p>
      <w:pPr>
        <w:pStyle w:val="BodyText"/>
      </w:pPr>
      <w:r>
        <w:t xml:space="preserve">Andina Mason &amp; Construction S.A.C. — Av. Javier Prado Este 1245, San Isidro, Peru Lima 15081</w:t>
      </w:r>
    </w:p>
    <w:p>
      <w:pPr>
        <w:pStyle w:val="BodyText"/>
      </w:pPr>
      <w:r>
        <w:t xml:space="preserve">RUC: 20587432190 | Tel: +51 1 445-6789 | info@andinamason.pe</w:t>
      </w:r>
    </w:p>
    <w:p>
      <w:pPr>
        <w:pStyle w:val="BodyText"/>
      </w:pPr>
      <w:r>
        <w:t xml:space="preserve">This Quotation Estimate was prepared exclusively for the client named above and is not transferable.</w:t>
      </w:r>
    </w:p>
    <w:p>
      <w:pPr>
        <w:pStyle w:val="BodyText"/>
      </w:pPr>
      <w:r>
        <w:t xml:space="preserve">Document Ref: QTE-2025-0847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Peru Lima</dc:title>
  <dc:creator/>
  <dc:language>en</dc:language>
  <cp:keywords/>
  <dcterms:created xsi:type="dcterms:W3CDTF">2026-10-10T04:29:02Z</dcterms:created>
  <dcterms:modified xsi:type="dcterms:W3CDTF">2026-10-10T04:29:02Z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