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Al Doha Mason &amp; Construction Services W.L.L.</w:t>
      </w:r>
    </w:p>
    <w:p>
      <w:pPr>
        <w:pStyle w:val="BodyText"/>
      </w:pPr>
      <w:r>
        <w:t xml:space="preserve">P.O. Box 4521, Industrial Area, Qatar Doha | Tel: +974-4455-6677 | Email: estimates@aldohamason.qa</w:t>
      </w:r>
    </w:p>
    <w:p>
      <w:pPr>
        <w:pStyle w:val="BodyText"/>
      </w:pPr>
      <w:r>
        <w:t xml:space="preserve">CR No: 123456 | VAT No: QV-789-456-123</w:t>
      </w:r>
    </w:p>
    <w:bookmarkEnd w:id="20"/>
    <w:p>
      <w:pPr>
        <w:pStyle w:val="BodyText"/>
      </w:pPr>
      <w:r>
        <w:rPr>
          <w:bCs/>
          <w:b/>
        </w:rPr>
        <w:t xml:space="preserve">Quotation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Client Name:</w:t>
      </w:r>
      <w:r>
        <w:t xml:space="preserve"> </w:t>
      </w:r>
      <w:r>
        <w:t xml:space="preserve">Mr. Khalid Al-Mansoori</w:t>
      </w:r>
    </w:p>
    <w:p>
      <w:pPr>
        <w:pStyle w:val="BodyText"/>
      </w:pPr>
      <w:r>
        <w:rPr>
          <w:bCs/>
          <w:b/>
        </w:rPr>
        <w:t xml:space="preserve">Project Location:</w:t>
      </w:r>
      <w:r>
        <w:t xml:space="preserve"> </w:t>
      </w:r>
      <w:r>
        <w:t xml:space="preserve">Al Waab, Qatar Doha</w:t>
      </w:r>
    </w:p>
    <w:p>
      <w:pPr>
        <w:pStyle w:val="BodyText"/>
      </w:pPr>
      <w:r>
        <w:rPr>
          <w:bCs/>
          <w:b/>
        </w:rPr>
        <w:t xml:space="preserve">Project Reference:</w:t>
      </w:r>
      <w:r>
        <w:t xml:space="preserve"> </w:t>
      </w:r>
      <w:r>
        <w:t xml:space="preserve">Residential Villa – Phase 2</w:t>
      </w:r>
    </w:p>
    <w:bookmarkStart w:id="21" w:name="Xbe0ef320fc3c69602dca9378f22c9afc961206e"/>
    <w:p>
      <w:pPr>
        <w:pStyle w:val="Heading2"/>
      </w:pPr>
      <w:r>
        <w:t xml:space="preserve">1. Scope of Work – Mason Services in Qatar Doha</w:t>
      </w:r>
    </w:p>
    <w:p>
      <w:pPr>
        <w:pStyle w:val="FirstParagraph"/>
      </w:pPr>
      <w:r>
        <w:t xml:space="preserve">This</w:t>
      </w:r>
      <w:r>
        <w:t xml:space="preserve"> </w:t>
      </w:r>
      <w:r>
        <w:t xml:space="preserve">Quotation Estimate</w:t>
      </w:r>
      <w:r>
        <w:t xml:space="preserve"> </w:t>
      </w:r>
      <w:r>
        <w:t xml:space="preserve">is prepared by Al Doha Mason &amp; Construction Services W.L.L. to provide comprehensive</w:t>
      </w:r>
      <w:r>
        <w:t xml:space="preserve"> </w:t>
      </w:r>
      <w:r>
        <w:t xml:space="preserve">Mason</w:t>
      </w:r>
      <w:r>
        <w:t xml:space="preserve"> </w:t>
      </w:r>
      <w:r>
        <w:t xml:space="preserve">work for the residential villa project located in Al Waab,</w:t>
      </w:r>
      <w:r>
        <w:t xml:space="preserve"> </w:t>
      </w:r>
      <w:r>
        <w:t xml:space="preserve">Qatar Doha</w:t>
      </w:r>
      <w:r>
        <w:t xml:space="preserve">. The scope encompasses all masonry-related activities including but not limited to blockwork, bricklaying, plastering, tile installation, and finishing works as detailed in the itemized breakdown below. Our team of certified</w:t>
      </w:r>
      <w:r>
        <w:t xml:space="preserve"> </w:t>
      </w:r>
      <w:r>
        <w:t xml:space="preserve">Mason</w:t>
      </w:r>
      <w:r>
        <w:t xml:space="preserve"> </w:t>
      </w:r>
      <w:r>
        <w:t xml:space="preserve">professionals will execute all tasks in strict compliance with the Qatar Construction Specifications (QCS) and the municipal building regulations of</w:t>
      </w:r>
      <w:r>
        <w:t xml:space="preserve"> </w:t>
      </w:r>
      <w:r>
        <w:t xml:space="preserve">Qatar Doha</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Supply and lay of 200mm concrete hollow blocks for external walls (including mortar, scaffolding, and curing)</w:t>
            </w:r>
          </w:p>
        </w:tc>
        <w:tc>
          <w:tcPr/>
          <w:p>
            <w:pPr>
              <w:pStyle w:val="Compact"/>
              <w:jc w:val="left"/>
            </w:pPr>
            <w:r>
              <w:t xml:space="preserve">SQM</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59,200.00</w:t>
            </w:r>
          </w:p>
        </w:tc>
      </w:tr>
      <w:tr>
        <w:tc>
          <w:tcPr/>
          <w:p>
            <w:pPr>
              <w:pStyle w:val="Compact"/>
              <w:jc w:val="left"/>
            </w:pPr>
            <w:r>
              <w:t xml:space="preserve">2</w:t>
            </w:r>
          </w:p>
        </w:tc>
        <w:tc>
          <w:tcPr/>
          <w:p>
            <w:pPr>
              <w:pStyle w:val="Compact"/>
              <w:jc w:val="left"/>
            </w:pPr>
            <w:r>
              <w:t xml:space="preserve">Supply and lay of 100mm solid clay bricks for internal partition walls</w:t>
            </w:r>
          </w:p>
        </w:tc>
        <w:tc>
          <w:tcPr/>
          <w:p>
            <w:pPr>
              <w:pStyle w:val="Compact"/>
              <w:jc w:val="left"/>
            </w:pPr>
            <w:r>
              <w:t xml:space="preserve">SQM</w:t>
            </w:r>
          </w:p>
        </w:tc>
        <w:tc>
          <w:tcPr/>
          <w:p>
            <w:pPr>
              <w:pStyle w:val="Compact"/>
              <w:jc w:val="left"/>
            </w:pPr>
            <w:r>
              <w:t xml:space="preserve">185</w:t>
            </w:r>
          </w:p>
        </w:tc>
        <w:tc>
          <w:tcPr/>
          <w:p>
            <w:pPr>
              <w:pStyle w:val="Compact"/>
              <w:jc w:val="left"/>
            </w:pPr>
            <w:r>
              <w:t xml:space="preserve">145.00</w:t>
            </w:r>
          </w:p>
        </w:tc>
        <w:tc>
          <w:tcPr/>
          <w:p>
            <w:pPr>
              <w:pStyle w:val="Compact"/>
              <w:jc w:val="left"/>
            </w:pPr>
            <w:r>
              <w:t xml:space="preserve">26,825.00</w:t>
            </w:r>
          </w:p>
        </w:tc>
      </w:tr>
      <w:tr>
        <w:tc>
          <w:tcPr/>
          <w:p>
            <w:pPr>
              <w:pStyle w:val="Compact"/>
              <w:jc w:val="left"/>
            </w:pPr>
            <w:r>
              <w:t xml:space="preserve">3</w:t>
            </w:r>
          </w:p>
        </w:tc>
        <w:tc>
          <w:tcPr/>
          <w:p>
            <w:pPr>
              <w:pStyle w:val="Compact"/>
              <w:jc w:val="left"/>
            </w:pPr>
            <w:r>
              <w:t xml:space="preserve">Internal plastering (two-coat cement mortar, 12mm thickness) on all masonry surfaces</w:t>
            </w:r>
          </w:p>
        </w:tc>
        <w:tc>
          <w:tcPr/>
          <w:p>
            <w:pPr>
              <w:pStyle w:val="Compact"/>
              <w:jc w:val="left"/>
            </w:pPr>
            <w:r>
              <w:t xml:space="preserve">SQM</w:t>
            </w:r>
          </w:p>
        </w:tc>
        <w:tc>
          <w:tcPr/>
          <w:p>
            <w:pPr>
              <w:pStyle w:val="Compact"/>
              <w:jc w:val="left"/>
            </w:pPr>
            <w:r>
              <w:t xml:space="preserve">505</w:t>
            </w:r>
          </w:p>
        </w:tc>
        <w:tc>
          <w:tcPr/>
          <w:p>
            <w:pPr>
              <w:pStyle w:val="Compact"/>
              <w:jc w:val="left"/>
            </w:pPr>
            <w:r>
              <w:t xml:space="preserve">68.00</w:t>
            </w:r>
          </w:p>
        </w:tc>
        <w:tc>
          <w:tcPr/>
          <w:p>
            <w:pPr>
              <w:pStyle w:val="Compact"/>
              <w:jc w:val="left"/>
            </w:pPr>
            <w:r>
              <w:t xml:space="preserve">34,340.00</w:t>
            </w:r>
          </w:p>
        </w:tc>
      </w:tr>
      <w:tr>
        <w:tc>
          <w:tcPr/>
          <w:p>
            <w:pPr>
              <w:pStyle w:val="Compact"/>
              <w:jc w:val="left"/>
            </w:pPr>
            <w:r>
              <w:t xml:space="preserve">4</w:t>
            </w:r>
          </w:p>
        </w:tc>
        <w:tc>
          <w:tcPr/>
          <w:p>
            <w:pPr>
              <w:pStyle w:val="Compact"/>
              <w:jc w:val="left"/>
            </w:pPr>
            <w:r>
              <w:t xml:space="preserve">External plastering with weather-resistant render (15mm, two-coat) on all exterior masonry walls</w:t>
            </w:r>
          </w:p>
        </w:tc>
        <w:tc>
          <w:tcPr/>
          <w:p>
            <w:pPr>
              <w:pStyle w:val="Compact"/>
              <w:jc w:val="left"/>
            </w:pPr>
            <w:r>
              <w:t xml:space="preserve">SQM</w:t>
            </w:r>
          </w:p>
        </w:tc>
        <w:tc>
          <w:tcPr/>
          <w:p>
            <w:pPr>
              <w:pStyle w:val="Compact"/>
              <w:jc w:val="left"/>
            </w:pPr>
            <w:r>
              <w:t xml:space="preserve">210</w:t>
            </w:r>
          </w:p>
        </w:tc>
        <w:tc>
          <w:tcPr/>
          <w:p>
            <w:pPr>
              <w:pStyle w:val="Compact"/>
              <w:jc w:val="left"/>
            </w:pPr>
            <w:r>
              <w:t xml:space="preserve">92.00</w:t>
            </w:r>
          </w:p>
        </w:tc>
        <w:tc>
          <w:tcPr/>
          <w:p>
            <w:pPr>
              <w:pStyle w:val="Compact"/>
              <w:jc w:val="left"/>
            </w:pPr>
            <w:r>
              <w:t xml:space="preserve">19,320.00</w:t>
            </w:r>
          </w:p>
        </w:tc>
      </w:tr>
      <w:tr>
        <w:tc>
          <w:tcPr/>
          <w:p>
            <w:pPr>
              <w:pStyle w:val="Compact"/>
              <w:jc w:val="left"/>
            </w:pPr>
            <w:r>
              <w:t xml:space="preserve">5</w:t>
            </w:r>
          </w:p>
        </w:tc>
        <w:tc>
          <w:tcPr/>
          <w:p>
            <w:pPr>
              <w:pStyle w:val="Compact"/>
              <w:jc w:val="left"/>
            </w:pPr>
            <w:r>
              <w:t xml:space="preserve">Supply and install of 600x600mm ceramic floor tiles in living areas and corridors (including adhesive, grout, and finishing)</w:t>
            </w:r>
          </w:p>
        </w:tc>
        <w:tc>
          <w:tcPr/>
          <w:p>
            <w:pPr>
              <w:pStyle w:val="Compact"/>
              <w:jc w:val="left"/>
            </w:pPr>
            <w:r>
              <w:t xml:space="preserve">SQM</w:t>
            </w:r>
          </w:p>
        </w:tc>
        <w:tc>
          <w:tcPr/>
          <w:p>
            <w:pPr>
              <w:pStyle w:val="Compact"/>
              <w:jc w:val="left"/>
            </w:pPr>
            <w:r>
              <w:t xml:space="preserve">140</w:t>
            </w:r>
          </w:p>
        </w:tc>
        <w:tc>
          <w:tcPr/>
          <w:p>
            <w:pPr>
              <w:pStyle w:val="Compact"/>
              <w:jc w:val="left"/>
            </w:pPr>
            <w:r>
              <w:t xml:space="preserve">210.00</w:t>
            </w:r>
          </w:p>
        </w:tc>
        <w:tc>
          <w:tcPr/>
          <w:p>
            <w:pPr>
              <w:pStyle w:val="Compact"/>
              <w:jc w:val="left"/>
            </w:pPr>
            <w:r>
              <w:t xml:space="preserve">29,400.00</w:t>
            </w:r>
          </w:p>
        </w:tc>
      </w:tr>
      <w:tr>
        <w:tc>
          <w:tcPr/>
          <w:p>
            <w:pPr>
              <w:pStyle w:val="Compact"/>
              <w:jc w:val="left"/>
            </w:pPr>
            <w:r>
              <w:t xml:space="preserve">6</w:t>
            </w:r>
          </w:p>
        </w:tc>
        <w:tc>
          <w:tcPr/>
          <w:p>
            <w:pPr>
              <w:pStyle w:val="Compact"/>
              <w:jc w:val="left"/>
            </w:pPr>
            <w:r>
              <w:t xml:space="preserve">Supply and install of 300x600mm wall tiles in bathrooms and kitchen (including waterproofing membrane)</w:t>
            </w:r>
          </w:p>
        </w:tc>
        <w:tc>
          <w:tcPr/>
          <w:p>
            <w:pPr>
              <w:pStyle w:val="Compact"/>
              <w:jc w:val="left"/>
            </w:pPr>
            <w:r>
              <w:t xml:space="preserve">SQM</w:t>
            </w:r>
          </w:p>
        </w:tc>
        <w:tc>
          <w:tcPr/>
          <w:p>
            <w:pPr>
              <w:pStyle w:val="Compact"/>
              <w:jc w:val="left"/>
            </w:pPr>
            <w:r>
              <w:t xml:space="preserve">95</w:t>
            </w:r>
          </w:p>
        </w:tc>
        <w:tc>
          <w:tcPr/>
          <w:p>
            <w:pPr>
              <w:pStyle w:val="Compact"/>
              <w:jc w:val="left"/>
            </w:pPr>
            <w:r>
              <w:t xml:space="preserve">245.00</w:t>
            </w:r>
          </w:p>
        </w:tc>
        <w:tc>
          <w:tcPr/>
          <w:p>
            <w:pPr>
              <w:pStyle w:val="Compact"/>
              <w:jc w:val="left"/>
            </w:pPr>
            <w:r>
              <w:t xml:space="preserve">23,275.00</w:t>
            </w:r>
          </w:p>
        </w:tc>
      </w:tr>
      <w:tr>
        <w:tc>
          <w:tcPr/>
          <w:p>
            <w:pPr>
              <w:pStyle w:val="Compact"/>
              <w:jc w:val="left"/>
            </w:pPr>
            <w:r>
              <w:t xml:space="preserve">7</w:t>
            </w:r>
          </w:p>
        </w:tc>
        <w:tc>
          <w:tcPr/>
          <w:p>
            <w:pPr>
              <w:pStyle w:val="Compact"/>
              <w:jc w:val="left"/>
            </w:pPr>
            <w:r>
              <w:t xml:space="preserve">Construction of masonry staircase (14 risers, 14 treads) with concrete treads and steel reinforcement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8</w:t>
            </w:r>
          </w:p>
        </w:tc>
        <w:tc>
          <w:tcPr/>
          <w:p>
            <w:pPr>
              <w:pStyle w:val="Compact"/>
              <w:jc w:val="left"/>
            </w:pPr>
            <w:r>
              <w:t xml:space="preserve">Supply and install of masonry lintels, sills, and window/door frames (precast concrete, 200mm width)</w:t>
            </w:r>
          </w:p>
        </w:tc>
        <w:tc>
          <w:tcPr/>
          <w:p>
            <w:pPr>
              <w:pStyle w:val="Compact"/>
              <w:jc w:val="left"/>
            </w:pPr>
            <w:r>
              <w:t xml:space="preserve">LM</w:t>
            </w:r>
          </w:p>
        </w:tc>
        <w:tc>
          <w:tcPr/>
          <w:p>
            <w:pPr>
              <w:pStyle w:val="Compact"/>
              <w:jc w:val="left"/>
            </w:pPr>
            <w:r>
              <w:t xml:space="preserve">68</w:t>
            </w:r>
          </w:p>
        </w:tc>
        <w:tc>
          <w:tcPr/>
          <w:p>
            <w:pPr>
              <w:pStyle w:val="Compact"/>
              <w:jc w:val="left"/>
            </w:pPr>
            <w:r>
              <w:t xml:space="preserve">85.00</w:t>
            </w:r>
          </w:p>
        </w:tc>
        <w:tc>
          <w:tcPr/>
          <w:p>
            <w:pPr>
              <w:pStyle w:val="Compact"/>
              <w:jc w:val="left"/>
            </w:pPr>
            <w:r>
              <w:t xml:space="preserve">5,780.00</w:t>
            </w:r>
          </w:p>
        </w:tc>
      </w:tr>
      <w:tr>
        <w:tc>
          <w:tcPr/>
          <w:p>
            <w:pPr>
              <w:pStyle w:val="Compact"/>
              <w:jc w:val="left"/>
            </w:pPr>
            <w:r>
              <w:t xml:space="preserve">9</w:t>
            </w:r>
          </w:p>
        </w:tc>
        <w:tc>
          <w:tcPr/>
          <w:p>
            <w:pPr>
              <w:pStyle w:val="Compact"/>
              <w:jc w:val="left"/>
            </w:pPr>
            <w:r>
              <w:t xml:space="preserve">Construction of masonry boundary wall (2.2m height, 200mm thick) with coping stone and gate opening</w:t>
            </w:r>
          </w:p>
        </w:tc>
        <w:tc>
          <w:tcPr/>
          <w:p>
            <w:pPr>
              <w:pStyle w:val="Compact"/>
              <w:jc w:val="left"/>
            </w:pPr>
            <w:r>
              <w:t xml:space="preserve">LM</w:t>
            </w:r>
          </w:p>
        </w:tc>
        <w:tc>
          <w:tcPr/>
          <w:p>
            <w:pPr>
              <w:pStyle w:val="Compact"/>
              <w:jc w:val="left"/>
            </w:pPr>
            <w:r>
              <w:t xml:space="preserve">85</w:t>
            </w:r>
          </w:p>
        </w:tc>
        <w:tc>
          <w:tcPr/>
          <w:p>
            <w:pPr>
              <w:pStyle w:val="Compact"/>
              <w:jc w:val="left"/>
            </w:pPr>
            <w:r>
              <w:t xml:space="preserve">320.00</w:t>
            </w:r>
          </w:p>
        </w:tc>
        <w:tc>
          <w:tcPr/>
          <w:p>
            <w:pPr>
              <w:pStyle w:val="Compact"/>
              <w:jc w:val="left"/>
            </w:pPr>
            <w:r>
              <w:t xml:space="preserve">27,200.00</w:t>
            </w:r>
          </w:p>
        </w:tc>
      </w:tr>
      <w:tr>
        <w:tc>
          <w:tcPr/>
          <w:p>
            <w:pPr>
              <w:pStyle w:val="Compact"/>
              <w:jc w:val="left"/>
            </w:pPr>
            <w:r>
              <w:t xml:space="preserve">10</w:t>
            </w:r>
          </w:p>
        </w:tc>
        <w:tc>
          <w:tcPr/>
          <w:p>
            <w:pPr>
              <w:pStyle w:val="Compact"/>
              <w:jc w:val="left"/>
            </w:pPr>
            <w:r>
              <w:t xml:space="preserve">Site supervision, quality control, and final finishing by senior Mason foreman (daily rate)</w:t>
            </w:r>
          </w:p>
        </w:tc>
        <w:tc>
          <w:tcPr/>
          <w:p>
            <w:pPr>
              <w:pStyle w:val="Compact"/>
              <w:jc w:val="left"/>
            </w:pPr>
            <w:r>
              <w:t xml:space="preserve">Day</w:t>
            </w:r>
          </w:p>
        </w:tc>
        <w:tc>
          <w:tcPr/>
          <w:p>
            <w:pPr>
              <w:pStyle w:val="Compact"/>
              <w:jc w:val="left"/>
            </w:pPr>
            <w:r>
              <w:t xml:space="preserve">45</w:t>
            </w:r>
          </w:p>
        </w:tc>
        <w:tc>
          <w:tcPr/>
          <w:p>
            <w:pPr>
              <w:pStyle w:val="Compact"/>
              <w:jc w:val="left"/>
            </w:pPr>
            <w:r>
              <w:t xml:space="preserve">650.00</w:t>
            </w:r>
          </w:p>
        </w:tc>
        <w:tc>
          <w:tcPr/>
          <w:p>
            <w:pPr>
              <w:pStyle w:val="Compact"/>
              <w:jc w:val="left"/>
            </w:pPr>
            <w:r>
              <w:t xml:space="preserve">29,250.00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1–10)</w:t>
            </w:r>
          </w:p>
        </w:tc>
        <w:tc>
          <w:tcPr/>
          <w:p>
            <w:pPr>
              <w:pStyle w:val="Compact"/>
              <w:jc w:val="right"/>
            </w:pPr>
            <w:r>
              <w:t xml:space="preserve">273,090.00 QAR</w:t>
            </w:r>
          </w:p>
        </w:tc>
      </w:tr>
      <w:tr>
        <w:tc>
          <w:tcPr/>
          <w:p>
            <w:pPr>
              <w:pStyle w:val="Compact"/>
              <w:jc w:val="left"/>
            </w:pPr>
            <w:r>
              <w:t xml:space="preserve">VAT @ 15% (Qatar Doha standard rate)</w:t>
            </w:r>
          </w:p>
        </w:tc>
        <w:tc>
          <w:tcPr/>
          <w:p>
            <w:pPr>
              <w:pStyle w:val="Compact"/>
              <w:jc w:val="right"/>
            </w:pPr>
            <w:r>
              <w:t xml:space="preserve">40,963.50 QAR</w:t>
            </w:r>
          </w:p>
        </w:tc>
      </w:tr>
      <w:tr>
        <w:tc>
          <w:tcPr/>
          <w:p>
            <w:pPr>
              <w:pStyle w:val="Compact"/>
              <w:jc w:val="left"/>
            </w:pPr>
            <w:r>
              <w:rPr>
                <w:bCs/>
                <w:b/>
              </w:rPr>
              <w:t xml:space="preserve">Grand Total (QAR)</w:t>
            </w:r>
          </w:p>
        </w:tc>
        <w:tc>
          <w:tcPr/>
          <w:p>
            <w:pPr>
              <w:pStyle w:val="Compact"/>
              <w:jc w:val="right"/>
            </w:pPr>
            <w:r>
              <w:rPr>
                <w:bCs/>
                <w:b/>
              </w:rPr>
              <w:t xml:space="preserve">314,053.50 QAR</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issue. After the expiry date, all rates and material costs are subject to revision based on prevailing market conditions in Qatar Doha.</w:t>
      </w:r>
    </w:p>
    <w:p>
      <w:pPr>
        <w:pStyle w:val="BodyText"/>
      </w:pPr>
      <w:r>
        <w:rPr>
          <w:bCs/>
          <w:b/>
        </w:rPr>
        <w:t xml:space="preserve">4.2 Payment Terms:</w:t>
      </w:r>
      <w:r>
        <w:t xml:space="preserve"> </w:t>
      </w:r>
      <w:r>
        <w:t xml:space="preserve">30% advance payment upon acceptance of this Quotation Estimate; 40% upon completion of all structural masonry work; 25% upon completion of plastering and tiling; 5% upon final handover and client sign-off.</w:t>
      </w:r>
    </w:p>
    <w:p>
      <w:pPr>
        <w:pStyle w:val="BodyText"/>
      </w:pPr>
      <w:r>
        <w:rPr>
          <w:bCs/>
          <w:b/>
        </w:rPr>
        <w:t xml:space="preserve">4.3 Project Duration:</w:t>
      </w:r>
      <w:r>
        <w:t xml:space="preserve"> </w:t>
      </w:r>
      <w:r>
        <w:t xml:space="preserve">The estimated completion period for all Mason work is forty-five (45) working days from the date of site mobilization, subject to weather conditions and client-approved design changes.</w:t>
      </w:r>
    </w:p>
    <w:p>
      <w:pPr>
        <w:pStyle w:val="BodyText"/>
      </w:pPr>
      <w:r>
        <w:rPr>
          <w:bCs/>
          <w:b/>
        </w:rPr>
        <w:t xml:space="preserve">4.4 Materials:</w:t>
      </w:r>
      <w:r>
        <w:t xml:space="preserve"> </w:t>
      </w:r>
      <w:r>
        <w:t xml:space="preserve">All masonry materials (blocks, bricks, cement, sand, tiles, and adhesives) shall be sourced from approved suppliers in Qatar Doha and shall meet QCS standards. Material substitutions require prior written approval from the client.</w:t>
      </w:r>
    </w:p>
    <w:p>
      <w:pPr>
        <w:pStyle w:val="BodyText"/>
      </w:pPr>
      <w:r>
        <w:rPr>
          <w:bCs/>
          <w:b/>
        </w:rPr>
        <w:t xml:space="preserve">4.5 Warranty:</w:t>
      </w:r>
      <w:r>
        <w:t xml:space="preserve"> </w:t>
      </w:r>
      <w:r>
        <w:t xml:space="preserve">Al Doha Mason &amp; Construction Services W.L.L. provides a twelve (12) month workmanship warranty on all Mason services rendered under this Quotation Estimate. This warranty covers defects in workmanship but excludes damage caused by structural movement, water ingress due to plumbing failures, or force majeure events.</w:t>
      </w:r>
    </w:p>
    <w:p>
      <w:pPr>
        <w:pStyle w:val="BodyText"/>
      </w:pPr>
      <w:r>
        <w:rPr>
          <w:bCs/>
          <w:b/>
        </w:rPr>
        <w:t xml:space="preserve">4.6 Permits and Compliance:</w:t>
      </w:r>
      <w:r>
        <w:t xml:space="preserve"> </w:t>
      </w:r>
      <w:r>
        <w:t xml:space="preserve">The client shall be responsible for obtaining all necessary municipal permits from the Municipality of Qatar Doha. Our team will provide all technical documentation required for permit applications.</w:t>
      </w:r>
    </w:p>
    <w:p>
      <w:pPr>
        <w:pStyle w:val="BodyText"/>
      </w:pPr>
      <w:r>
        <w:rPr>
          <w:bCs/>
          <w:b/>
        </w:rPr>
        <w:t xml:space="preserve">4.7 Changes and Variations:</w:t>
      </w:r>
      <w:r>
        <w:t xml:space="preserve"> </w:t>
      </w:r>
      <w:r>
        <w:t xml:space="preserve">Any changes to the scope of Mason work beyond what is described in this Quotation Estimate will be subject to a separate written variation order and additional cost assessment.</w:t>
      </w:r>
    </w:p>
    <w:p>
      <w:pPr>
        <w:pStyle w:val="BodyText"/>
      </w:pPr>
      <w:r>
        <w:rPr>
          <w:bCs/>
          <w:b/>
        </w:rPr>
        <w:t xml:space="preserve">4.8 Dispute Resolution:</w:t>
      </w:r>
      <w:r>
        <w:t xml:space="preserve"> </w:t>
      </w:r>
      <w:r>
        <w:t xml:space="preserve">Any disputes arising from this Quotation Estimate shall be resolved through amicable negotiation. In the event of failure to resolve, the matter shall be referred to the courts of Qatar Doha in accordance with Qatari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 Quotation Estimate for Mason services in Qatar Doha. The undersigned agrees to all terms, conditions, rates, and the scope of work as outlined in this document.</w:t>
      </w:r>
    </w:p>
    <w:p>
      <w:pPr>
        <w:pStyle w:val="BodyText"/>
      </w:pPr>
      <w:r>
        <w:rPr>
          <w:bCs/>
          <w:b/>
        </w:rPr>
        <w:t xml:space="preserve">For: Al Doha Mason &amp; Construction Services W.L.L.</w:t>
      </w:r>
      <w:r>
        <w:br/>
      </w:r>
      <w:r>
        <w:t xml:space="preserve">Authorized Signatory</w:t>
      </w:r>
      <w:r>
        <w:br/>
      </w:r>
      <w:r>
        <w:t xml:space="preserve">Name: Eng. Salem Al-Thani</w:t>
      </w:r>
      <w:r>
        <w:br/>
      </w:r>
      <w:r>
        <w:t xml:space="preserve">Date: _______________</w:t>
      </w:r>
    </w:p>
    <w:p>
      <w:pPr>
        <w:pStyle w:val="BodyText"/>
      </w:pPr>
      <w:r>
        <w:rPr>
          <w:bCs/>
          <w:b/>
        </w:rPr>
        <w:t xml:space="preserve">For: Client</w:t>
      </w:r>
      <w:r>
        <w:br/>
      </w:r>
      <w:r>
        <w:t xml:space="preserve">Authorized Signatory</w:t>
      </w:r>
      <w:r>
        <w:br/>
      </w:r>
      <w:r>
        <w:t xml:space="preserve">Name: Mr. Khalid Al-Mansoori</w:t>
      </w:r>
      <w:r>
        <w:br/>
      </w:r>
      <w:r>
        <w:t xml:space="preserve">Date: _______________</w:t>
      </w:r>
    </w:p>
    <w:p>
      <w:pPr>
        <w:pStyle w:val="BodyText"/>
      </w:pPr>
      <w:r>
        <w:t xml:space="preserve">This Quotation Estimate is issued by Al Doha Mason &amp; Construction Services W.L.L., Qatar Doha. All prices are in Qatari Riyals (QAR). This document is confidential and intended solely for the named client. © 2025 Al Doha Mason &amp; Construction Services W.L.L.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Qatar Doha</dc:title>
  <dc:creator/>
  <dc:language>en</dc:language>
  <cp:keywords/>
  <dcterms:created xsi:type="dcterms:W3CDTF">2026-10-10T06:14:37Z</dcterms:created>
  <dcterms:modified xsi:type="dcterms:W3CDTF">2026-10-10T06:14:37Z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