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stroymason-professional-services-llc"/>
    <w:p>
      <w:pPr>
        <w:pStyle w:val="Heading1"/>
      </w:pPr>
      <w:r>
        <w:t xml:space="preserve">StroyMason Professional Services LLC</w:t>
      </w:r>
    </w:p>
    <w:p>
      <w:pPr>
        <w:pStyle w:val="FirstParagraph"/>
      </w:pPr>
      <w:r>
        <w:t xml:space="preserve">12 Tverskaya Street, Building 4, Moscow, Russia 125009</w:t>
      </w:r>
    </w:p>
    <w:p>
      <w:pPr>
        <w:pStyle w:val="BodyText"/>
      </w:pPr>
      <w:r>
        <w:t xml:space="preserve">Tel: +7 (495) 123-4567 | Email: info@stroymason.ru | INN: 7701234567</w:t>
      </w:r>
    </w:p>
    <w:bookmarkEnd w:id="20"/>
    <w:p>
      <w:pPr>
        <w:pStyle w:val="BodyText"/>
      </w:pPr>
      <w:r>
        <w:t xml:space="preserve">Quotation Estimate</w:t>
      </w:r>
    </w:p>
    <w:bookmarkStart w:id="21" w:name="prepared-for-client"/>
    <w:p>
      <w:pPr>
        <w:pStyle w:val="Heading3"/>
      </w:pPr>
      <w:r>
        <w:t xml:space="preserve">Prepared For (Client)</w:t>
      </w:r>
    </w:p>
    <w:p>
      <w:pPr>
        <w:pStyle w:val="FirstParagraph"/>
      </w:pPr>
      <w:r>
        <w:rPr>
          <w:bCs/>
          <w:b/>
        </w:rPr>
        <w:t xml:space="preserve">Client Name:</w:t>
      </w:r>
      <w:r>
        <w:t xml:space="preserve"> </w:t>
      </w:r>
      <w:r>
        <w:t xml:space="preserve">Alexei Dmitrievich Volkov</w:t>
      </w:r>
    </w:p>
    <w:p>
      <w:pPr>
        <w:pStyle w:val="BodyText"/>
      </w:pPr>
      <w:r>
        <w:rPr>
          <w:bCs/>
          <w:b/>
        </w:rPr>
        <w:t xml:space="preserve">Company:</w:t>
      </w:r>
      <w:r>
        <w:t xml:space="preserve"> </w:t>
      </w:r>
      <w:r>
        <w:t xml:space="preserve">Volga Construction Group</w:t>
      </w:r>
    </w:p>
    <w:p>
      <w:pPr>
        <w:pStyle w:val="BodyText"/>
      </w:pPr>
      <w:r>
        <w:rPr>
          <w:bCs/>
          <w:b/>
        </w:rPr>
        <w:t xml:space="preserve">Address:</w:t>
      </w:r>
      <w:r>
        <w:t xml:space="preserve"> </w:t>
      </w:r>
      <w:r>
        <w:t xml:space="preserve">45 Leningradsky Prospekt, Moscow, Russia 125212</w:t>
      </w:r>
    </w:p>
    <w:p>
      <w:pPr>
        <w:pStyle w:val="BodyText"/>
      </w:pPr>
      <w:r>
        <w:rPr>
          <w:bCs/>
          <w:b/>
        </w:rPr>
        <w:t xml:space="preserve">Contact:</w:t>
      </w:r>
      <w:r>
        <w:t xml:space="preserve"> </w:t>
      </w:r>
      <w:r>
        <w:t xml:space="preserve">+7 (916) 555-0123</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QTE-MSC-2025-0847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Russia Moscow, Central Administrative District</w:t>
      </w:r>
    </w:p>
    <w:p>
      <w:pPr>
        <w:pStyle w:val="BodyText"/>
      </w:pPr>
      <w:r>
        <w:rPr>
          <w:bCs/>
          <w:b/>
        </w:rPr>
        <w:t xml:space="preserve">Prepared By:</w:t>
      </w:r>
      <w:r>
        <w:t xml:space="preserve"> </w:t>
      </w:r>
      <w:r>
        <w:t xml:space="preserve">Ivan S. Petrov, Senior Mason Estimator</w:t>
      </w:r>
    </w:p>
    <w:bookmarkEnd w:id="22"/>
    <w:p>
      <w:pPr>
        <w:pStyle w:val="BodyText"/>
      </w:pPr>
      <w:r>
        <w:t xml:space="preserve">This</w:t>
      </w:r>
      <w:r>
        <w:t xml:space="preserve"> </w:t>
      </w:r>
      <w:r>
        <w:t xml:space="preserve">Quotation Estimate</w:t>
      </w:r>
      <w:r>
        <w:t xml:space="preserve"> </w:t>
      </w:r>
      <w:r>
        <w:t xml:space="preserve">is issued by StroyMason Professional Services LLC in relation to comprehensive masonry works to be executed at the client's designated construction site located in</w:t>
      </w:r>
      <w:r>
        <w:t xml:space="preserve"> </w:t>
      </w:r>
      <w:r>
        <w:t xml:space="preserve">Russia Moscow</w:t>
      </w:r>
      <w:r>
        <w:t xml:space="preserve">. This document outlines the full scope of</w:t>
      </w:r>
      <w:r>
        <w:t xml:space="preserve"> </w:t>
      </w:r>
      <w:r>
        <w:t xml:space="preserve">Mason</w:t>
      </w:r>
      <w:r>
        <w:t xml:space="preserve"> </w:t>
      </w:r>
      <w:r>
        <w:t xml:space="preserve">services, material costs, labor charges, and associated terms governing the proposed engagement. All pricing is presented in Russian Rubles (RUB) and reflects current market conditions as of the date of issue in the Moscow metropolitan area.</w:t>
      </w:r>
    </w:p>
    <w:bookmarkStart w:id="23" w:name="scope-of-mason-work"/>
    <w:p>
      <w:pPr>
        <w:pStyle w:val="Heading2"/>
      </w:pPr>
      <w:r>
        <w:t xml:space="preserve">1. Scope of Mason Work</w:t>
      </w:r>
    </w:p>
    <w:p>
      <w:pPr>
        <w:pStyle w:val="FirstParagraph"/>
      </w:pPr>
      <w:r>
        <w:t xml:space="preserve">The</w:t>
      </w:r>
      <w:r>
        <w:t xml:space="preserve"> </w:t>
      </w:r>
      <w:r>
        <w:t xml:space="preserve">Mason</w:t>
      </w:r>
      <w:r>
        <w:t xml:space="preserve"> </w:t>
      </w:r>
      <w:r>
        <w:t xml:space="preserve">services proposed under this Quotation Estimate encompass the following tasks to be performed at the construction site in Russia Moscow:</w:t>
      </w:r>
    </w:p>
    <w:p>
      <w:pPr>
        <w:numPr>
          <w:ilvl w:val="0"/>
          <w:numId w:val="1001"/>
        </w:numPr>
        <w:pStyle w:val="Compact"/>
      </w:pPr>
      <w:r>
        <w:t xml:space="preserve">Construction of load-bearing and non-load-bearing brick walls (dimensions: 12m x 8m x 3.5m) using standard ceramic bricks (250x120x65 mm) with M-100 cement mortar.</w:t>
      </w:r>
    </w:p>
    <w:p>
      <w:pPr>
        <w:numPr>
          <w:ilvl w:val="0"/>
          <w:numId w:val="1001"/>
        </w:numPr>
        <w:pStyle w:val="Compact"/>
      </w:pPr>
      <w:r>
        <w:t xml:space="preserve">Erection of interior partition walls (total linear length: 85 linear meters) using aerated concrete blocks (600x300x200 mm) with specialized block adhesive.</w:t>
      </w:r>
    </w:p>
    <w:p>
      <w:pPr>
        <w:numPr>
          <w:ilvl w:val="0"/>
          <w:numId w:val="1001"/>
        </w:numPr>
        <w:pStyle w:val="Compact"/>
      </w:pPr>
      <w:r>
        <w:t xml:space="preserve">Installation of a reinforced concrete lintel system above all door and window openings (14 openings total).</w:t>
      </w:r>
    </w:p>
    <w:p>
      <w:pPr>
        <w:numPr>
          <w:ilvl w:val="0"/>
          <w:numId w:val="1001"/>
        </w:numPr>
        <w:pStyle w:val="Compact"/>
      </w:pPr>
      <w:r>
        <w:t xml:space="preserve">Construction of a masonry chimney structure (height: 6.5m) with stainless steel flue lining, compliant with Russian Federal Construction Norms (SNiP 41-01-2003).</w:t>
      </w:r>
    </w:p>
    <w:p>
      <w:pPr>
        <w:numPr>
          <w:ilvl w:val="0"/>
          <w:numId w:val="1001"/>
        </w:numPr>
        <w:pStyle w:val="Compact"/>
      </w:pPr>
      <w:r>
        <w:t xml:space="preserve">Application of external and internal plastering (two-coat system) on all masonry surfaces (total area: approximately 420 square meters).</w:t>
      </w:r>
    </w:p>
    <w:p>
      <w:pPr>
        <w:numPr>
          <w:ilvl w:val="0"/>
          <w:numId w:val="1001"/>
        </w:numPr>
        <w:pStyle w:val="Compact"/>
      </w:pPr>
      <w:r>
        <w:t xml:space="preserve">Installation of a masonry foundation repair section (3m x 2m) at the northeast corner of the existing structure.</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Load-bearing brick wall construction (M-100 mortar)</w:t>
            </w:r>
          </w:p>
        </w:tc>
        <w:tc>
          <w:tcPr/>
          <w:p>
            <w:pPr>
              <w:pStyle w:val="Compact"/>
              <w:jc w:val="left"/>
            </w:pPr>
            <w:r>
              <w:t xml:space="preserve">m²</w:t>
            </w:r>
          </w:p>
        </w:tc>
        <w:tc>
          <w:tcPr/>
          <w:p>
            <w:pPr>
              <w:pStyle w:val="Compact"/>
              <w:jc w:val="left"/>
            </w:pPr>
            <w:r>
              <w:t xml:space="preserve">336</w:t>
            </w:r>
          </w:p>
        </w:tc>
        <w:tc>
          <w:tcPr/>
          <w:p>
            <w:pPr>
              <w:pStyle w:val="Compact"/>
              <w:jc w:val="left"/>
            </w:pPr>
            <w:r>
              <w:t xml:space="preserve">2,850</w:t>
            </w:r>
          </w:p>
        </w:tc>
        <w:tc>
          <w:tcPr/>
          <w:p>
            <w:pPr>
              <w:pStyle w:val="Compact"/>
              <w:jc w:val="left"/>
            </w:pPr>
            <w:r>
              <w:t xml:space="preserve">957,600</w:t>
            </w:r>
          </w:p>
        </w:tc>
      </w:tr>
      <w:tr>
        <w:tc>
          <w:tcPr/>
          <w:p>
            <w:pPr>
              <w:pStyle w:val="Compact"/>
              <w:jc w:val="left"/>
            </w:pPr>
            <w:r>
              <w:t xml:space="preserve">2</w:t>
            </w:r>
          </w:p>
        </w:tc>
        <w:tc>
          <w:tcPr/>
          <w:p>
            <w:pPr>
              <w:pStyle w:val="Compact"/>
              <w:jc w:val="left"/>
            </w:pPr>
            <w:r>
              <w:t xml:space="preserve">Interior partition walls (aerated concrete blocks)</w:t>
            </w:r>
          </w:p>
        </w:tc>
        <w:tc>
          <w:tcPr/>
          <w:p>
            <w:pPr>
              <w:pStyle w:val="Compact"/>
              <w:jc w:val="left"/>
            </w:pPr>
            <w:r>
              <w:t xml:space="preserve">lm</w:t>
            </w:r>
          </w:p>
        </w:tc>
        <w:tc>
          <w:tcPr/>
          <w:p>
            <w:pPr>
              <w:pStyle w:val="Compact"/>
              <w:jc w:val="left"/>
            </w:pPr>
            <w:r>
              <w:t xml:space="preserve">85</w:t>
            </w:r>
          </w:p>
        </w:tc>
        <w:tc>
          <w:tcPr/>
          <w:p>
            <w:pPr>
              <w:pStyle w:val="Compact"/>
              <w:jc w:val="left"/>
            </w:pPr>
            <w:r>
              <w:t xml:space="preserve">1,420</w:t>
            </w:r>
          </w:p>
        </w:tc>
        <w:tc>
          <w:tcPr/>
          <w:p>
            <w:pPr>
              <w:pStyle w:val="Compact"/>
              <w:jc w:val="left"/>
            </w:pPr>
            <w:r>
              <w:t xml:space="preserve">120,700</w:t>
            </w:r>
          </w:p>
        </w:tc>
      </w:tr>
      <w:tr>
        <w:tc>
          <w:tcPr/>
          <w:p>
            <w:pPr>
              <w:pStyle w:val="Compact"/>
              <w:jc w:val="left"/>
            </w:pPr>
            <w:r>
              <w:t xml:space="preserve">3</w:t>
            </w:r>
          </w:p>
        </w:tc>
        <w:tc>
          <w:tcPr/>
          <w:p>
            <w:pPr>
              <w:pStyle w:val="Compact"/>
              <w:jc w:val="left"/>
            </w:pPr>
            <w:r>
              <w:t xml:space="preserve">Reinforced concrete lintel installation</w:t>
            </w:r>
          </w:p>
        </w:tc>
        <w:tc>
          <w:tcPr/>
          <w:p>
            <w:pPr>
              <w:pStyle w:val="Compact"/>
              <w:jc w:val="left"/>
            </w:pPr>
            <w:r>
              <w:t xml:space="preserve">pcs</w:t>
            </w:r>
          </w:p>
        </w:tc>
        <w:tc>
          <w:tcPr/>
          <w:p>
            <w:pPr>
              <w:pStyle w:val="Compact"/>
              <w:jc w:val="left"/>
            </w:pPr>
            <w:r>
              <w:t xml:space="preserve">14</w:t>
            </w:r>
          </w:p>
        </w:tc>
        <w:tc>
          <w:tcPr/>
          <w:p>
            <w:pPr>
              <w:pStyle w:val="Compact"/>
              <w:jc w:val="left"/>
            </w:pPr>
            <w:r>
              <w:t xml:space="preserve">8,500</w:t>
            </w:r>
          </w:p>
        </w:tc>
        <w:tc>
          <w:tcPr/>
          <w:p>
            <w:pPr>
              <w:pStyle w:val="Compact"/>
              <w:jc w:val="left"/>
            </w:pPr>
            <w:r>
              <w:t xml:space="preserve">119,000</w:t>
            </w:r>
          </w:p>
        </w:tc>
      </w:tr>
      <w:tr>
        <w:tc>
          <w:tcPr/>
          <w:p>
            <w:pPr>
              <w:pStyle w:val="Compact"/>
              <w:jc w:val="left"/>
            </w:pPr>
            <w:r>
              <w:t xml:space="preserve">4</w:t>
            </w:r>
          </w:p>
        </w:tc>
        <w:tc>
          <w:tcPr/>
          <w:p>
            <w:pPr>
              <w:pStyle w:val="Compact"/>
              <w:jc w:val="left"/>
            </w:pPr>
            <w:r>
              <w:t xml:space="preserve">Masonry chimney construction with flue lining</w:t>
            </w:r>
          </w:p>
        </w:tc>
        <w:tc>
          <w:tcPr/>
          <w:p>
            <w:pPr>
              <w:pStyle w:val="Compact"/>
              <w:jc w:val="left"/>
            </w:pPr>
            <w:r>
              <w:t xml:space="preserve">unit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5</w:t>
            </w:r>
          </w:p>
        </w:tc>
        <w:tc>
          <w:tcPr/>
          <w:p>
            <w:pPr>
              <w:pStyle w:val="Compact"/>
              <w:jc w:val="left"/>
            </w:pPr>
            <w:r>
              <w:t xml:space="preserve">Two-coat plastering (external and internal)</w:t>
            </w:r>
          </w:p>
        </w:tc>
        <w:tc>
          <w:tcPr/>
          <w:p>
            <w:pPr>
              <w:pStyle w:val="Compact"/>
              <w:jc w:val="left"/>
            </w:pPr>
            <w:r>
              <w:t xml:space="preserve">m²</w:t>
            </w:r>
          </w:p>
        </w:tc>
        <w:tc>
          <w:tcPr/>
          <w:p>
            <w:pPr>
              <w:pStyle w:val="Compact"/>
              <w:jc w:val="left"/>
            </w:pPr>
            <w:r>
              <w:t xml:space="preserve">420</w:t>
            </w:r>
          </w:p>
        </w:tc>
        <w:tc>
          <w:tcPr/>
          <w:p>
            <w:pPr>
              <w:pStyle w:val="Compact"/>
              <w:jc w:val="left"/>
            </w:pPr>
            <w:r>
              <w:t xml:space="preserve">980</w:t>
            </w:r>
          </w:p>
        </w:tc>
        <w:tc>
          <w:tcPr/>
          <w:p>
            <w:pPr>
              <w:pStyle w:val="Compact"/>
              <w:jc w:val="left"/>
            </w:pPr>
            <w:r>
              <w:t xml:space="preserve">411,600</w:t>
            </w:r>
          </w:p>
        </w:tc>
      </w:tr>
      <w:tr>
        <w:tc>
          <w:tcPr/>
          <w:p>
            <w:pPr>
              <w:pStyle w:val="Compact"/>
              <w:jc w:val="left"/>
            </w:pPr>
            <w:r>
              <w:t xml:space="preserve">6</w:t>
            </w:r>
          </w:p>
        </w:tc>
        <w:tc>
          <w:tcPr/>
          <w:p>
            <w:pPr>
              <w:pStyle w:val="Compact"/>
              <w:jc w:val="left"/>
            </w:pPr>
            <w:r>
              <w:t xml:space="preserve">Foundation masonry repair (northeast corner)</w:t>
            </w:r>
          </w:p>
        </w:tc>
        <w:tc>
          <w:tcPr/>
          <w:p>
            <w:pPr>
              <w:pStyle w:val="Compact"/>
              <w:jc w:val="left"/>
            </w:pPr>
            <w:r>
              <w:t xml:space="preserve">m³</w:t>
            </w:r>
          </w:p>
        </w:tc>
        <w:tc>
          <w:tcPr/>
          <w:p>
            <w:pPr>
              <w:pStyle w:val="Compact"/>
              <w:jc w:val="left"/>
            </w:pPr>
            <w:r>
              <w:t xml:space="preserve">6</w:t>
            </w:r>
          </w:p>
        </w:tc>
        <w:tc>
          <w:tcPr/>
          <w:p>
            <w:pPr>
              <w:pStyle w:val="Compact"/>
              <w:jc w:val="left"/>
            </w:pPr>
            <w:r>
              <w:t xml:space="preserve">12,400</w:t>
            </w:r>
          </w:p>
        </w:tc>
        <w:tc>
          <w:tcPr/>
          <w:p>
            <w:pPr>
              <w:pStyle w:val="Compact"/>
              <w:jc w:val="left"/>
            </w:pPr>
            <w:r>
              <w:t xml:space="preserve">74,400</w:t>
            </w:r>
          </w:p>
        </w:tc>
      </w:tr>
      <w:tr>
        <w:tc>
          <w:tcPr/>
          <w:p>
            <w:pPr>
              <w:pStyle w:val="Compact"/>
              <w:jc w:val="left"/>
            </w:pPr>
            <w:r>
              <w:t xml:space="preserve">7</w:t>
            </w:r>
          </w:p>
        </w:tc>
        <w:tc>
          <w:tcPr/>
          <w:p>
            <w:pPr>
              <w:pStyle w:val="Compact"/>
              <w:jc w:val="left"/>
            </w:pPr>
            <w:r>
              <w:t xml:space="preserve">Material supply (bricks, blocks, mortar, adhesive, rebar)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486,000</w:t>
            </w:r>
          </w:p>
        </w:tc>
        <w:tc>
          <w:tcPr/>
          <w:p>
            <w:pPr>
              <w:pStyle w:val="Compact"/>
              <w:jc w:val="left"/>
            </w:pPr>
            <w:r>
              <w:t xml:space="preserve">486,000</w:t>
            </w:r>
          </w:p>
        </w:tc>
      </w:tr>
      <w:tr>
        <w:tc>
          <w:tcPr/>
          <w:p>
            <w:pPr>
              <w:pStyle w:val="Compact"/>
              <w:jc w:val="left"/>
            </w:pPr>
            <w:r>
              <w:t xml:space="preserve">8</w:t>
            </w:r>
          </w:p>
        </w:tc>
        <w:tc>
          <w:tcPr/>
          <w:p>
            <w:pPr>
              <w:pStyle w:val="Compact"/>
              <w:jc w:val="left"/>
            </w:pPr>
            <w:r>
              <w:t xml:space="preserve">Site preparation, scaffolding, and waste removal (Moscow city regulations)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67,500</w:t>
            </w:r>
          </w:p>
        </w:tc>
        <w:tc>
          <w:tcPr/>
          <w:p>
            <w:pPr>
              <w:pStyle w:val="Compact"/>
              <w:jc w:val="left"/>
            </w:pPr>
            <w:r>
              <w:t xml:space="preserve">67,500</w:t>
            </w:r>
          </w:p>
        </w:tc>
      </w:tr>
      <w:tr>
        <w:tc>
          <w:tcPr>
            <w:gridSpan w:val="5"/>
          </w:tcPr>
          <w:p>
            <w:pPr>
              <w:pStyle w:val="Compact"/>
              <w:jc w:val="left"/>
            </w:pPr>
            <w:r>
              <w:t xml:space="preserve">TOTAL ESTIMATED COST (excluding VAT 20%)</w:t>
            </w:r>
          </w:p>
        </w:tc>
        <w:tc>
          <w:tcPr/>
          <w:p>
            <w:pPr>
              <w:pStyle w:val="Compact"/>
              <w:jc w:val="left"/>
            </w:pPr>
            <w:r>
              <w:t xml:space="preserve">2,521,800</w:t>
            </w:r>
          </w:p>
        </w:tc>
      </w:tr>
      <w:tr>
        <w:tc>
          <w:tcPr>
            <w:gridSpan w:val="5"/>
          </w:tcPr>
          <w:p>
            <w:pPr>
              <w:pStyle w:val="Compact"/>
              <w:jc w:val="left"/>
            </w:pPr>
            <w:r>
              <w:t xml:space="preserve">VAT (20%)</w:t>
            </w:r>
          </w:p>
        </w:tc>
        <w:tc>
          <w:tcPr/>
          <w:p>
            <w:pPr>
              <w:pStyle w:val="Compact"/>
              <w:jc w:val="left"/>
            </w:pPr>
            <w:r>
              <w:t xml:space="preserve">504,360</w:t>
            </w:r>
          </w:p>
        </w:tc>
      </w:tr>
      <w:tr>
        <w:tc>
          <w:tcPr>
            <w:gridSpan w:val="5"/>
          </w:tcPr>
          <w:p>
            <w:pPr>
              <w:pStyle w:val="Compact"/>
              <w:jc w:val="left"/>
            </w:pPr>
            <w:r>
              <w:t xml:space="preserve">GRAND TOTAL (including VAT)</w:t>
            </w:r>
          </w:p>
        </w:tc>
        <w:tc>
          <w:tcPr/>
          <w:p>
            <w:pPr>
              <w:pStyle w:val="Compact"/>
              <w:jc w:val="left"/>
            </w:pPr>
            <w:r>
              <w:t xml:space="preserve">3,026,160</w:t>
            </w:r>
          </w:p>
        </w:tc>
      </w:tr>
    </w:tbl>
    <w:bookmarkEnd w:id="24"/>
    <w:bookmarkStart w:id="25" w:name="project-timeline"/>
    <w:p>
      <w:pPr>
        <w:pStyle w:val="Heading2"/>
      </w:pPr>
      <w:r>
        <w:t xml:space="preserve">3. Project Timeline</w:t>
      </w:r>
    </w:p>
    <w:p>
      <w:pPr>
        <w:pStyle w:val="FirstParagraph"/>
      </w:pPr>
      <w:r>
        <w:t xml:space="preserve">The estimated duration for completion of all Mason works described in this Quotation Estimate is</w:t>
      </w:r>
      <w:r>
        <w:t xml:space="preserve"> </w:t>
      </w:r>
      <w:r>
        <w:rPr>
          <w:bCs/>
          <w:b/>
        </w:rPr>
        <w:t xml:space="preserve">28 working days</w:t>
      </w:r>
      <w:r>
        <w:t xml:space="preserve"> </w:t>
      </w:r>
      <w:r>
        <w:t xml:space="preserve">from the date of contract signing and site access confirmation. The project schedule is structured to comply with Moscow City Construction Department regulations regarding working hours (07:00 to 20:00, Monday through Saturday) and noise restrictions applicable in the Central Administrative District of Russia Moscow. Weather-related delays (temperatures below +5°C or precipitation exceeding 10mm per day) will be documented and may extend the timeline by up to 5 additional working days at no additional cost to the client.</w:t>
      </w:r>
    </w:p>
    <w:bookmarkEnd w:id="25"/>
    <w:bookmarkStart w:id="26" w:name="terms-and-conditions"/>
    <w:p>
      <w:pPr>
        <w:pStyle w:val="Heading2"/>
      </w:pPr>
      <w:r>
        <w:t xml:space="preserve">4. Terms and Conditions</w:t>
      </w:r>
    </w:p>
    <w:p>
      <w:pPr>
        <w:numPr>
          <w:ilvl w:val="0"/>
          <w:numId w:val="1002"/>
        </w:numPr>
        <w:pStyle w:val="Compact"/>
      </w:pPr>
      <w:r>
        <w:rPr>
          <w:bCs/>
          <w:b/>
        </w:rPr>
        <w:t xml:space="preserve">4.1</w:t>
      </w:r>
      <w:r>
        <w:t xml:space="preserve"> </w:t>
      </w:r>
      <w:r>
        <w:t xml:space="preserve">This Quotation Estimate is valid for 30 calendar days from the date of issue. After the expiry date, all prices are subject to revision based on current material and labor market rates in Russia Moscow.</w:t>
      </w:r>
    </w:p>
    <w:p>
      <w:pPr>
        <w:numPr>
          <w:ilvl w:val="0"/>
          <w:numId w:val="1002"/>
        </w:numPr>
        <w:pStyle w:val="Compact"/>
      </w:pPr>
      <w:r>
        <w:rPr>
          <w:bCs/>
          <w:b/>
        </w:rPr>
        <w:t xml:space="preserve">4.2</w:t>
      </w:r>
      <w:r>
        <w:t xml:space="preserve"> </w:t>
      </w:r>
      <w:r>
        <w:t xml:space="preserve">Payment terms: 40% advance payment upon contract execution, 40% upon completion of 70% of the Mason works (verified by joint site inspection), and 20% upon final acceptance and sign-off.</w:t>
      </w:r>
    </w:p>
    <w:p>
      <w:pPr>
        <w:numPr>
          <w:ilvl w:val="0"/>
          <w:numId w:val="1002"/>
        </w:numPr>
        <w:pStyle w:val="Compact"/>
      </w:pPr>
      <w:r>
        <w:rPr>
          <w:bCs/>
          <w:b/>
        </w:rPr>
        <w:t xml:space="preserve">4.3</w:t>
      </w:r>
      <w:r>
        <w:t xml:space="preserve"> </w:t>
      </w:r>
      <w:r>
        <w:t xml:space="preserve">All masonry work shall be executed in strict compliance with Russian Federal Construction Norms (SNiP), GOST standards, and local Moscow City building codes. The Mason crew shall be supervised by a certified site engineer holding a valid Russian construction license.</w:t>
      </w:r>
    </w:p>
    <w:p>
      <w:pPr>
        <w:numPr>
          <w:ilvl w:val="0"/>
          <w:numId w:val="1002"/>
        </w:numPr>
        <w:pStyle w:val="Compact"/>
      </w:pPr>
      <w:r>
        <w:rPr>
          <w:bCs/>
          <w:b/>
        </w:rPr>
        <w:t xml:space="preserve">4.4</w:t>
      </w:r>
      <w:r>
        <w:t xml:space="preserve"> </w:t>
      </w:r>
      <w:r>
        <w:t xml:space="preserve">The contractor (StroyMason Professional Services LLC) shall provide all necessary scaffolding, safety equipment, and personal protective equipment for the Mason team. The client is responsible for providing uninterrupted access to the site and ensuring that all municipal permits for construction activity in Russia Moscow are obtained prior to commencement.</w:t>
      </w:r>
    </w:p>
    <w:p>
      <w:pPr>
        <w:numPr>
          <w:ilvl w:val="0"/>
          <w:numId w:val="1002"/>
        </w:numPr>
        <w:pStyle w:val="Compact"/>
      </w:pPr>
      <w:r>
        <w:rPr>
          <w:bCs/>
          <w:b/>
        </w:rPr>
        <w:t xml:space="preserve">4.5</w:t>
      </w:r>
      <w:r>
        <w:t xml:space="preserve"> </w:t>
      </w:r>
      <w:r>
        <w:t xml:space="preserve">Warranty: A 24-month warranty is provided on all structural Mason work. The warranty covers defects in workmanship and material failure under normal use conditions. Warranty claims must be submitted in writing within 14 days of defect identification.</w:t>
      </w:r>
    </w:p>
    <w:p>
      <w:pPr>
        <w:numPr>
          <w:ilvl w:val="0"/>
          <w:numId w:val="1002"/>
        </w:numPr>
        <w:pStyle w:val="Compact"/>
      </w:pPr>
      <w:r>
        <w:rPr>
          <w:bCs/>
          <w:b/>
        </w:rPr>
        <w:t xml:space="preserve">4.6</w:t>
      </w:r>
      <w:r>
        <w:t xml:space="preserve"> </w:t>
      </w:r>
      <w:r>
        <w:t xml:space="preserve">Any changes to the scope of work beyond 10% of the original Quotation Estimate value shall require a written change order signed by both parties before additional work commences.</w:t>
      </w:r>
    </w:p>
    <w:p>
      <w:pPr>
        <w:numPr>
          <w:ilvl w:val="0"/>
          <w:numId w:val="1002"/>
        </w:numPr>
        <w:pStyle w:val="Compact"/>
      </w:pPr>
      <w:r>
        <w:rPr>
          <w:bCs/>
          <w:b/>
        </w:rPr>
        <w:t xml:space="preserve">4.7</w:t>
      </w:r>
      <w:r>
        <w:t xml:space="preserve"> </w:t>
      </w:r>
      <w:r>
        <w:t xml:space="preserve">Disputes arising from this Quotation Estimate and subsequent contract shall be resolved in accordance with the Civil Code of the Russian Federation and, if necessary, referred to the Arbitration Court of the City of Moscow.</w:t>
      </w:r>
    </w:p>
    <w:p>
      <w:pPr>
        <w:numPr>
          <w:ilvl w:val="0"/>
          <w:numId w:val="1002"/>
        </w:numPr>
        <w:pStyle w:val="Compact"/>
      </w:pPr>
      <w:r>
        <w:rPr>
          <w:bCs/>
          <w:b/>
        </w:rPr>
        <w:t xml:space="preserve">4.8</w:t>
      </w:r>
      <w:r>
        <w:t xml:space="preserve"> </w:t>
      </w:r>
      <w:r>
        <w:t xml:space="preserve">The contractor shall maintain comprehensive liability insurance (minimum coverage: 10,000,000 RUB) for the duration of the project, covering the Mason crew, equipment, and the client's property.</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this Quotation Estimate accurately reflects the agreed-upon scope of Mason services, pricing, and terms for the project located in Russia Moscow. This document, upon mutual signature, shall serve as the basis for the formal construction contract.</w:t>
      </w:r>
    </w:p>
    <w:p>
      <w:pPr>
        <w:pStyle w:val="BodyText"/>
      </w:pPr>
      <w:r>
        <w:rPr>
          <w:bCs/>
          <w:b/>
        </w:rPr>
        <w:t xml:space="preserve">For StroyMason Professional Services LLC</w:t>
      </w:r>
    </w:p>
    <w:p>
      <w:pPr>
        <w:pStyle w:val="BodyText"/>
      </w:pPr>
      <w:r>
        <w:t xml:space="preserve">Name: Ivan S. Petrov</w:t>
      </w:r>
    </w:p>
    <w:p>
      <w:pPr>
        <w:pStyle w:val="BodyText"/>
      </w:pPr>
      <w:r>
        <w:t xml:space="preserve">Title: Senior Mason Estimator / Authorized Signatory</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 (Volga Construction Group)</w:t>
      </w:r>
    </w:p>
    <w:p>
      <w:pPr>
        <w:pStyle w:val="BodyText"/>
      </w:pPr>
      <w:r>
        <w:t xml:space="preserve">Name: Alexei D. Volkov</w:t>
      </w:r>
    </w:p>
    <w:p>
      <w:pPr>
        <w:pStyle w:val="BodyText"/>
      </w:pPr>
      <w:r>
        <w:t xml:space="preserve">Title: Project Director</w:t>
      </w:r>
    </w:p>
    <w:p>
      <w:pPr>
        <w:pStyle w:val="BodyText"/>
      </w:pPr>
      <w:r>
        <w:t xml:space="preserve">Signature: _________________________</w:t>
      </w:r>
    </w:p>
    <w:p>
      <w:pPr>
        <w:pStyle w:val="BodyText"/>
      </w:pPr>
      <w:r>
        <w:t xml:space="preserve">Date: _________________________</w:t>
      </w:r>
    </w:p>
    <w:p>
      <w:pPr>
        <w:pStyle w:val="BodyText"/>
      </w:pPr>
      <w:r>
        <w:t xml:space="preserve">StroyMason Professional Services LLC | Quotation Estimate No. QTE-MSC-2025-0847 | Russia Moscow</w:t>
      </w:r>
    </w:p>
    <w:p>
      <w:pPr>
        <w:pStyle w:val="BodyText"/>
      </w:pPr>
      <w:r>
        <w:t xml:space="preserve">This document is confidential and intended solely for the named client. Unauthorized reproduction or distribution is prohibited.</w:t>
      </w:r>
    </w:p>
    <w:p>
      <w:pPr>
        <w:pStyle w:val="BodyText"/>
      </w:pPr>
      <w:r>
        <w:t xml:space="preserve">Page 1 of 1 | Generated: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Russia Moscow</dc:title>
  <dc:creator/>
  <dc:language>en</dc:language>
  <cp:keywords/>
  <dcterms:created xsi:type="dcterms:W3CDTF">2026-10-10T04:08:17Z</dcterms:created>
  <dcterms:modified xsi:type="dcterms:W3CDTF">2026-10-10T04:08:17Z</dcterms:modified>
</cp:coreProperties>
</file>

<file path=docProps/custom.xml><?xml version="1.0" encoding="utf-8"?>
<Properties xmlns="http://schemas.openxmlformats.org/officeDocument/2006/custom-properties" xmlns:vt="http://schemas.openxmlformats.org/officeDocument/2006/docPropsVTypes"/>
</file>