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construction-mason-services-sarl"/>
    <w:p>
      <w:pPr>
        <w:pStyle w:val="Heading1"/>
      </w:pPr>
      <w:r>
        <w:t xml:space="preserve">Sahel Construction &amp; Mason Services SARL</w:t>
      </w:r>
    </w:p>
    <w:p>
      <w:pPr>
        <w:pStyle w:val="FirstParagraph"/>
      </w:pPr>
      <w:r>
        <w:t xml:space="preserve">Lot 1245, Zone Industrielle, Parcelle 47</w:t>
      </w:r>
    </w:p>
    <w:p>
      <w:pPr>
        <w:pStyle w:val="BodyText"/>
      </w:pPr>
      <w:r>
        <w:t xml:space="preserve">Dakar, Senegal</w:t>
      </w:r>
    </w:p>
    <w:p>
      <w:pPr>
        <w:pStyle w:val="BodyText"/>
      </w:pPr>
      <w:r>
        <w:t xml:space="preserve">Tel: +221 33 864 52 10 | Email: quotes@sahelmason.sn</w:t>
      </w:r>
    </w:p>
    <w:p>
      <w:pPr>
        <w:pStyle w:val="BodyText"/>
      </w:pPr>
      <w:r>
        <w:t xml:space="preserve">RC: SN-DKR-2019-B-04521 | NINEA: 004521876</w:t>
      </w:r>
    </w:p>
    <w:bookmarkEnd w:id="20"/>
    <w:p>
      <w:pPr>
        <w:pStyle w:val="BodyText"/>
      </w:pPr>
      <w:r>
        <w:t xml:space="preserve">Document Ref: QTE-2025-DAK-0387</w:t>
      </w:r>
      <w:r>
        <w:br/>
      </w:r>
      <w:r>
        <w:t xml:space="preserve">Date Issued: 14 June 2025</w:t>
      </w:r>
      <w:r>
        <w:br/>
      </w:r>
      <w:r>
        <w:t xml:space="preserve">Valid Until: 14 July 2025</w:t>
      </w:r>
    </w:p>
    <w:bookmarkStart w:id="21" w:name="quotation-estimate"/>
    <w:p>
      <w:pPr>
        <w:pStyle w:val="Heading2"/>
      </w:pPr>
      <w:r>
        <w:t xml:space="preserve">QUOTATION ESTIMATE</w:t>
      </w:r>
    </w:p>
    <w:p>
      <w:pPr>
        <w:pStyle w:val="FirstParagraph"/>
      </w:pPr>
      <w:r>
        <w:t xml:space="preserve">Professional Mason &amp; Masonry Works – Senegal Dakar</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 Amadou Diop – Private Residence Project</w:t>
            </w:r>
          </w:p>
        </w:tc>
      </w:tr>
      <w:tr>
        <w:tc>
          <w:tcPr/>
          <w:p>
            <w:pPr>
              <w:pStyle w:val="Compact"/>
              <w:jc w:val="left"/>
            </w:pPr>
            <w:r>
              <w:t xml:space="preserve">Project Address:</w:t>
            </w:r>
          </w:p>
        </w:tc>
        <w:tc>
          <w:tcPr/>
          <w:p>
            <w:pPr>
              <w:pStyle w:val="Compact"/>
              <w:jc w:val="left"/>
            </w:pPr>
            <w:r>
              <w:t xml:space="preserve">Quartier Ngor, Route de Ngor, Dakar, Senegal</w:t>
            </w:r>
          </w:p>
        </w:tc>
      </w:tr>
      <w:tr>
        <w:tc>
          <w:tcPr/>
          <w:p>
            <w:pPr>
              <w:pStyle w:val="Compact"/>
              <w:jc w:val="left"/>
            </w:pPr>
            <w:r>
              <w:t xml:space="preserve">Project Type:</w:t>
            </w:r>
          </w:p>
        </w:tc>
        <w:tc>
          <w:tcPr/>
          <w:p>
            <w:pPr>
              <w:pStyle w:val="Compact"/>
              <w:jc w:val="left"/>
            </w:pPr>
            <w:r>
              <w:t xml:space="preserve">Two-storey residential building – Full Mason &amp; Masonry Works</w:t>
            </w:r>
          </w:p>
        </w:tc>
      </w:tr>
      <w:tr>
        <w:tc>
          <w:tcPr/>
          <w:p>
            <w:pPr>
              <w:pStyle w:val="Compact"/>
              <w:jc w:val="left"/>
            </w:pPr>
            <w:r>
              <w:t xml:space="preserve">Quotation Estimate No.:</w:t>
            </w:r>
          </w:p>
        </w:tc>
        <w:tc>
          <w:tcPr/>
          <w:p>
            <w:pPr>
              <w:pStyle w:val="Compact"/>
              <w:jc w:val="left"/>
            </w:pPr>
            <w:r>
              <w:t xml:space="preserve">QTE-2025-DAK-0387</w:t>
            </w:r>
          </w:p>
        </w:tc>
      </w:tr>
      <w:tr>
        <w:tc>
          <w:tcPr/>
          <w:p>
            <w:pPr>
              <w:pStyle w:val="Compact"/>
              <w:jc w:val="left"/>
            </w:pPr>
            <w:r>
              <w:t xml:space="preserve">Currency:</w:t>
            </w:r>
          </w:p>
        </w:tc>
        <w:tc>
          <w:tcPr/>
          <w:p>
            <w:pPr>
              <w:pStyle w:val="Compact"/>
              <w:jc w:val="left"/>
            </w:pPr>
            <w:r>
              <w:t xml:space="preserve">West African CFA Franc (XOF / FCFA)</w:t>
            </w:r>
          </w:p>
        </w:tc>
      </w:tr>
      <w:tr>
        <w:tc>
          <w:tcPr/>
          <w:p>
            <w:pPr>
              <w:pStyle w:val="Compact"/>
              <w:jc w:val="left"/>
            </w:pPr>
            <w:r>
              <w:t xml:space="preserve">Estimated Duration:</w:t>
            </w:r>
          </w:p>
        </w:tc>
        <w:tc>
          <w:tcPr/>
          <w:p>
            <w:pPr>
              <w:pStyle w:val="Compact"/>
              <w:jc w:val="left"/>
            </w:pPr>
            <w:r>
              <w:t xml:space="preserve">14 weeks (approximately 3.5 months)</w:t>
            </w:r>
          </w:p>
        </w:tc>
      </w:tr>
    </w:tbl>
    <w:p>
      <w:pPr>
        <w:pStyle w:val="BodyText"/>
      </w:pPr>
      <w:r>
        <w:t xml:space="preserve">1. SCOPE OF WORK – MASON SERVICES IN SENEGAL DAKAR</w:t>
      </w:r>
    </w:p>
    <w:p>
      <w:pPr>
        <w:pStyle w:val="BodyText"/>
      </w:pPr>
      <w:r>
        <w:t xml:space="preserve">This Quotation Estimate is issued by Sahel Construction &amp; Mason Services SARL for the complete masonry and Mason work required for the construction of a two-storey residential building located in Quartier Ngor, Dakar, Senegal. The scope encompasses all structural and non-structural Mason tasks, including but not limited to: foundation wall construction, load-bearing masonry walls, partition walls, lintels, sills, staircases, and finishing plastering. All Mason work shall be executed in strict compliance with the Senegalese building code (Réglementation Sanitaire et Technique) and the specific architectural plans approved by the client's architect in Dakar.</w:t>
      </w:r>
    </w:p>
    <w:p>
      <w:pPr>
        <w:pStyle w:val="BodyText"/>
      </w:pPr>
      <w:r>
        <w:t xml:space="preserve">2. ITEMIZED QUOTATION ESTIMATE – MASON 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(FCFA)</w:t>
            </w:r>
          </w:p>
        </w:tc>
        <w:tc>
          <w:tcPr/>
          <w:p>
            <w:pPr>
              <w:pStyle w:val="Compact"/>
              <w:jc w:val="left"/>
            </w:pPr>
            <w:r>
              <w:t xml:space="preserve">Total (FCFA)</w:t>
            </w:r>
          </w:p>
        </w:tc>
      </w:tr>
      <w:tr>
        <w:tc>
          <w:tcPr/>
          <w:p>
            <w:pPr>
              <w:pStyle w:val="Compact"/>
              <w:jc w:val="left"/>
            </w:pPr>
            <w:r>
              <w:t xml:space="preserve">01</w:t>
            </w:r>
          </w:p>
        </w:tc>
        <w:tc>
          <w:tcPr/>
          <w:p>
            <w:pPr>
              <w:pStyle w:val="Compact"/>
              <w:jc w:val="left"/>
            </w:pPr>
            <w:r>
              <w:t xml:space="preserve">Foundation masonry walls (concrete blocks 20cm) – Mason labor &amp; materials</w:t>
            </w:r>
          </w:p>
        </w:tc>
        <w:tc>
          <w:tcPr/>
          <w:p>
            <w:pPr>
              <w:pStyle w:val="Compact"/>
              <w:jc w:val="left"/>
            </w:pPr>
            <w:r>
              <w:t xml:space="preserve">m²</w:t>
            </w:r>
          </w:p>
        </w:tc>
        <w:tc>
          <w:tcPr/>
          <w:p>
            <w:pPr>
              <w:pStyle w:val="Compact"/>
              <w:jc w:val="left"/>
            </w:pPr>
            <w:r>
              <w:t xml:space="preserve">185</w:t>
            </w:r>
          </w:p>
        </w:tc>
        <w:tc>
          <w:tcPr/>
          <w:p>
            <w:pPr>
              <w:pStyle w:val="Compact"/>
              <w:jc w:val="left"/>
            </w:pPr>
            <w:r>
              <w:t xml:space="preserve">18,500</w:t>
            </w:r>
          </w:p>
        </w:tc>
        <w:tc>
          <w:tcPr/>
          <w:p>
            <w:pPr>
              <w:pStyle w:val="Compact"/>
              <w:jc w:val="left"/>
            </w:pPr>
            <w:r>
              <w:t xml:space="preserve">3,422,500</w:t>
            </w:r>
          </w:p>
        </w:tc>
      </w:tr>
      <w:tr>
        <w:tc>
          <w:tcPr/>
          <w:p>
            <w:pPr>
              <w:pStyle w:val="Compact"/>
              <w:jc w:val="left"/>
            </w:pPr>
            <w:r>
              <w:t xml:space="preserve">02</w:t>
            </w:r>
          </w:p>
        </w:tc>
        <w:tc>
          <w:tcPr/>
          <w:p>
            <w:pPr>
              <w:pStyle w:val="Compact"/>
              <w:jc w:val="left"/>
            </w:pPr>
            <w:r>
              <w:t xml:space="preserve">Ground floor load-bearing masonry walls (concrete blocks 20cm)</w:t>
            </w:r>
          </w:p>
        </w:tc>
        <w:tc>
          <w:tcPr/>
          <w:p>
            <w:pPr>
              <w:pStyle w:val="Compact"/>
              <w:jc w:val="left"/>
            </w:pPr>
            <w:r>
              <w:t xml:space="preserve">m²</w:t>
            </w:r>
          </w:p>
        </w:tc>
        <w:tc>
          <w:tcPr/>
          <w:p>
            <w:pPr>
              <w:pStyle w:val="Compact"/>
              <w:jc w:val="left"/>
            </w:pPr>
            <w:r>
              <w:t xml:space="preserve">320</w:t>
            </w:r>
          </w:p>
        </w:tc>
        <w:tc>
          <w:tcPr/>
          <w:p>
            <w:pPr>
              <w:pStyle w:val="Compact"/>
              <w:jc w:val="left"/>
            </w:pPr>
            <w:r>
              <w:t xml:space="preserve">22,000</w:t>
            </w:r>
          </w:p>
        </w:tc>
        <w:tc>
          <w:tcPr/>
          <w:p>
            <w:pPr>
              <w:pStyle w:val="Compact"/>
              <w:jc w:val="left"/>
            </w:pPr>
            <w:r>
              <w:t xml:space="preserve">7,040,000</w:t>
            </w:r>
          </w:p>
        </w:tc>
      </w:tr>
      <w:tr>
        <w:tc>
          <w:tcPr/>
          <w:p>
            <w:pPr>
              <w:pStyle w:val="Compact"/>
              <w:jc w:val="left"/>
            </w:pPr>
            <w:r>
              <w:t xml:space="preserve">03</w:t>
            </w:r>
          </w:p>
        </w:tc>
        <w:tc>
          <w:tcPr/>
          <w:p>
            <w:pPr>
              <w:pStyle w:val="Compact"/>
              <w:jc w:val="left"/>
            </w:pPr>
            <w:r>
              <w:t xml:space="preserve">First floor load-bearing masonry walls (concrete blocks 20cm)</w:t>
            </w:r>
          </w:p>
        </w:tc>
        <w:tc>
          <w:tcPr/>
          <w:p>
            <w:pPr>
              <w:pStyle w:val="Compact"/>
              <w:jc w:val="left"/>
            </w:pPr>
            <w:r>
              <w:t xml:space="preserve">m²</w:t>
            </w:r>
          </w:p>
        </w:tc>
        <w:tc>
          <w:tcPr/>
          <w:p>
            <w:pPr>
              <w:pStyle w:val="Compact"/>
              <w:jc w:val="left"/>
            </w:pPr>
            <w:r>
              <w:t xml:space="preserve">290</w:t>
            </w:r>
          </w:p>
        </w:tc>
        <w:tc>
          <w:tcPr/>
          <w:p>
            <w:pPr>
              <w:pStyle w:val="Compact"/>
              <w:jc w:val="left"/>
            </w:pPr>
            <w:r>
              <w:t xml:space="preserve">23,500</w:t>
            </w:r>
          </w:p>
        </w:tc>
        <w:tc>
          <w:tcPr/>
          <w:p>
            <w:pPr>
              <w:pStyle w:val="Compact"/>
              <w:jc w:val="left"/>
            </w:pPr>
            <w:r>
              <w:t xml:space="preserve">6,815,000</w:t>
            </w:r>
          </w:p>
        </w:tc>
      </w:tr>
      <w:tr>
        <w:tc>
          <w:tcPr/>
          <w:p>
            <w:pPr>
              <w:pStyle w:val="Compact"/>
              <w:jc w:val="left"/>
            </w:pPr>
            <w:r>
              <w:t xml:space="preserve">04</w:t>
            </w:r>
          </w:p>
        </w:tc>
        <w:tc>
          <w:tcPr/>
          <w:p>
            <w:pPr>
              <w:pStyle w:val="Compact"/>
              <w:jc w:val="left"/>
            </w:pPr>
            <w:r>
              <w:t xml:space="preserve">Internal partition walls (concrete blocks 10cm) – both floors</w:t>
            </w:r>
          </w:p>
        </w:tc>
        <w:tc>
          <w:tcPr/>
          <w:p>
            <w:pPr>
              <w:pStyle w:val="Compact"/>
              <w:jc w:val="left"/>
            </w:pPr>
            <w:r>
              <w:t xml:space="preserve">m²</w:t>
            </w:r>
          </w:p>
        </w:tc>
        <w:tc>
          <w:tcPr/>
          <w:p>
            <w:pPr>
              <w:pStyle w:val="Compact"/>
              <w:jc w:val="left"/>
            </w:pPr>
            <w:r>
              <w:t xml:space="preserve">410</w:t>
            </w:r>
          </w:p>
        </w:tc>
        <w:tc>
          <w:tcPr/>
          <w:p>
            <w:pPr>
              <w:pStyle w:val="Compact"/>
              <w:jc w:val="left"/>
            </w:pPr>
            <w:r>
              <w:t xml:space="preserve">14,000</w:t>
            </w:r>
          </w:p>
        </w:tc>
        <w:tc>
          <w:tcPr/>
          <w:p>
            <w:pPr>
              <w:pStyle w:val="Compact"/>
              <w:jc w:val="left"/>
            </w:pPr>
            <w:r>
              <w:t xml:space="preserve">5,740,000</w:t>
            </w:r>
          </w:p>
        </w:tc>
      </w:tr>
      <w:tr>
        <w:tc>
          <w:tcPr/>
          <w:p>
            <w:pPr>
              <w:pStyle w:val="Compact"/>
              <w:jc w:val="left"/>
            </w:pPr>
            <w:r>
              <w:t xml:space="preserve">05</w:t>
            </w:r>
          </w:p>
        </w:tc>
        <w:tc>
          <w:tcPr/>
          <w:p>
            <w:pPr>
              <w:pStyle w:val="Compact"/>
              <w:jc w:val="left"/>
            </w:pPr>
            <w:r>
              <w:t xml:space="preserve">Reinforced concrete lintels and window sills (Mason formwork &amp; pour)</w:t>
            </w:r>
          </w:p>
        </w:tc>
        <w:tc>
          <w:tcPr/>
          <w:p>
            <w:pPr>
              <w:pStyle w:val="Compact"/>
              <w:jc w:val="left"/>
            </w:pPr>
            <w:r>
              <w:t xml:space="preserve">ml</w:t>
            </w:r>
          </w:p>
        </w:tc>
        <w:tc>
          <w:tcPr/>
          <w:p>
            <w:pPr>
              <w:pStyle w:val="Compact"/>
              <w:jc w:val="left"/>
            </w:pPr>
            <w:r>
              <w:t xml:space="preserve">96</w:t>
            </w:r>
          </w:p>
        </w:tc>
        <w:tc>
          <w:tcPr/>
          <w:p>
            <w:pPr>
              <w:pStyle w:val="Compact"/>
              <w:jc w:val="left"/>
            </w:pPr>
            <w:r>
              <w:t xml:space="preserve">35,000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Internal staircase construction (masonry steps, 18 steps)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External plastering – both faces (cement mortar 1:4), 2cm thickness</w:t>
            </w:r>
          </w:p>
        </w:tc>
        <w:tc>
          <w:tcPr/>
          <w:p>
            <w:pPr>
              <w:pStyle w:val="Compact"/>
              <w:jc w:val="left"/>
            </w:pPr>
            <w:r>
              <w:t xml:space="preserve">m²</w:t>
            </w:r>
          </w:p>
        </w:tc>
        <w:tc>
          <w:tcPr/>
          <w:p>
            <w:pPr>
              <w:pStyle w:val="Compact"/>
              <w:jc w:val="left"/>
            </w:pPr>
            <w:r>
              <w:t xml:space="preserve">680</w:t>
            </w:r>
          </w:p>
        </w:tc>
        <w:tc>
          <w:tcPr/>
          <w:p>
            <w:pPr>
              <w:pStyle w:val="Compact"/>
              <w:jc w:val="left"/>
            </w:pPr>
            <w:r>
              <w:t xml:space="preserve">8,500</w:t>
            </w:r>
          </w:p>
        </w:tc>
        <w:tc>
          <w:tcPr/>
          <w:p>
            <w:pPr>
              <w:pStyle w:val="Compact"/>
              <w:jc w:val="left"/>
            </w:pPr>
            <w:r>
              <w:t xml:space="preserve">5,780,000</w:t>
            </w:r>
          </w:p>
        </w:tc>
      </w:tr>
      <w:tr>
        <w:tc>
          <w:tcPr/>
          <w:p>
            <w:pPr>
              <w:pStyle w:val="Compact"/>
              <w:jc w:val="left"/>
            </w:pPr>
            <w:r>
              <w:t xml:space="preserve">08</w:t>
            </w:r>
          </w:p>
        </w:tc>
        <w:tc>
          <w:tcPr/>
          <w:p>
            <w:pPr>
              <w:pStyle w:val="Compact"/>
              <w:jc w:val="left"/>
            </w:pPr>
            <w:r>
              <w:t xml:space="preserve">Internal plastering – both floors (cement mortar 1:5), 1.5cm thickness</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7,200</w:t>
            </w:r>
          </w:p>
        </w:tc>
        <w:tc>
          <w:tcPr/>
          <w:p>
            <w:pPr>
              <w:pStyle w:val="Compact"/>
              <w:jc w:val="left"/>
            </w:pPr>
            <w:r>
              <w:t xml:space="preserve">8,928,000</w:t>
            </w:r>
          </w:p>
        </w:tc>
      </w:tr>
      <w:tr>
        <w:tc>
          <w:tcPr/>
          <w:p>
            <w:pPr>
              <w:pStyle w:val="Compact"/>
              <w:jc w:val="left"/>
            </w:pPr>
            <w:r>
              <w:t xml:space="preserve">09</w:t>
            </w:r>
          </w:p>
        </w:tc>
        <w:tc>
          <w:tcPr/>
          <w:p>
            <w:pPr>
              <w:pStyle w:val="Compact"/>
              <w:jc w:val="left"/>
            </w:pPr>
            <w:r>
              <w:t xml:space="preserve">Roof parapet walls and chimney breast (Mason work)</w:t>
            </w:r>
          </w:p>
        </w:tc>
        <w:tc>
          <w:tcPr/>
          <w:p>
            <w:pPr>
              <w:pStyle w:val="Compact"/>
              <w:jc w:val="left"/>
            </w:pPr>
            <w:r>
              <w:t xml:space="preserve">ml</w:t>
            </w:r>
          </w:p>
        </w:tc>
        <w:tc>
          <w:tcPr/>
          <w:p>
            <w:pPr>
              <w:pStyle w:val="Compact"/>
              <w:jc w:val="left"/>
            </w:pPr>
            <w:r>
              <w:t xml:space="preserve">42</w:t>
            </w:r>
          </w:p>
        </w:tc>
        <w:tc>
          <w:tcPr/>
          <w:p>
            <w:pPr>
              <w:pStyle w:val="Compact"/>
              <w:jc w:val="left"/>
            </w:pPr>
            <w:r>
              <w:t xml:space="preserve">28,000</w:t>
            </w:r>
          </w:p>
        </w:tc>
        <w:tc>
          <w:tcPr/>
          <w:p>
            <w:pPr>
              <w:pStyle w:val="Compact"/>
              <w:jc w:val="left"/>
            </w:pPr>
            <w:r>
              <w:t xml:space="preserve">1,176,000</w:t>
            </w:r>
          </w:p>
        </w:tc>
      </w:tr>
      <w:tr>
        <w:tc>
          <w:tcPr/>
          <w:p>
            <w:pPr>
              <w:pStyle w:val="Compact"/>
              <w:jc w:val="left"/>
            </w:pPr>
            <w:r>
              <w:t xml:space="preserve">10</w:t>
            </w:r>
          </w:p>
        </w:tc>
        <w:tc>
          <w:tcPr/>
          <w:p>
            <w:pPr>
              <w:pStyle w:val="Compact"/>
              <w:jc w:val="left"/>
            </w:pPr>
            <w:r>
              <w:t xml:space="preserve">Site cleanup, material handling, and Mason team supervision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(Mason Works)</w:t>
            </w:r>
          </w:p>
        </w:tc>
        <w:tc>
          <w:tcPr/>
          <w:p>
            <w:pPr>
              <w:pStyle w:val="Compact"/>
              <w:jc w:val="left"/>
            </w:pPr>
            <w:r>
              <w:t xml:space="preserve">45,311,500</w:t>
            </w:r>
          </w:p>
        </w:tc>
      </w:tr>
      <w:tr>
        <w:tc>
          <w:tcPr>
            <w:gridSpan w:val="5"/>
          </w:tcPr>
          <w:p>
            <w:pPr>
              <w:pStyle w:val="Compact"/>
              <w:jc w:val="right"/>
            </w:pPr>
            <w:r>
              <w:t xml:space="preserve">VAT (18% – Senegal)</w:t>
            </w:r>
          </w:p>
        </w:tc>
        <w:tc>
          <w:tcPr/>
          <w:p>
            <w:pPr>
              <w:pStyle w:val="Compact"/>
              <w:jc w:val="left"/>
            </w:pPr>
            <w:r>
              <w:t xml:space="preserve">8,156,070</w:t>
            </w:r>
          </w:p>
        </w:tc>
      </w:tr>
      <w:tr>
        <w:tc>
          <w:tcPr>
            <w:gridSpan w:val="5"/>
          </w:tcPr>
          <w:p>
            <w:pPr>
              <w:pStyle w:val="Compact"/>
              <w:jc w:val="right"/>
            </w:pPr>
            <w:r>
              <w:t xml:space="preserve">GRAND TOTAL (Quotation Estimate)</w:t>
            </w:r>
          </w:p>
        </w:tc>
        <w:tc>
          <w:tcPr/>
          <w:p>
            <w:pPr>
              <w:pStyle w:val="Compact"/>
              <w:jc w:val="left"/>
            </w:pPr>
            <w:r>
              <w:t xml:space="preserve">53,467,570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Mason services in Senegal Dakar is valid for thirty (30) calendar days from the date of issue. After this period, prices may be revised to reflect current material costs in the Dakar market.</w:t>
      </w:r>
    </w:p>
    <w:p>
      <w:pPr>
        <w:numPr>
          <w:ilvl w:val="0"/>
          <w:numId w:val="1001"/>
        </w:numPr>
        <w:pStyle w:val="Compact"/>
      </w:pPr>
      <w:r>
        <w:rPr>
          <w:bCs/>
          <w:b/>
        </w:rPr>
        <w:t xml:space="preserve">Payment Schedule:</w:t>
      </w:r>
      <w:r>
        <w:t xml:space="preserve"> </w:t>
      </w:r>
      <w:r>
        <w:t xml:space="preserve">30% advance upon contract signing; 40% upon completion of ground-floor Mason work; 20% upon completion of first-floor masonry; 10% upon final handover and client acceptance of all Mason works.</w:t>
      </w:r>
    </w:p>
    <w:p>
      <w:pPr>
        <w:numPr>
          <w:ilvl w:val="0"/>
          <w:numId w:val="1001"/>
        </w:numPr>
        <w:pStyle w:val="Compact"/>
      </w:pPr>
      <w:r>
        <w:rPr>
          <w:bCs/>
          <w:b/>
        </w:rPr>
        <w:t xml:space="preserve">Materials:</w:t>
      </w:r>
      <w:r>
        <w:t xml:space="preserve"> </w:t>
      </w:r>
      <w:r>
        <w:t xml:space="preserve">All concrete blocks, cement (Dahabie or equivalent), sand, and aggregate shall be sourced from approved suppliers in the Dakar region. The client reserves the right to inspect materials before use.</w:t>
      </w:r>
    </w:p>
    <w:p>
      <w:pPr>
        <w:numPr>
          <w:ilvl w:val="0"/>
          <w:numId w:val="1001"/>
        </w:numPr>
        <w:pStyle w:val="Compact"/>
      </w:pPr>
      <w:r>
        <w:rPr>
          <w:bCs/>
          <w:b/>
        </w:rPr>
        <w:t xml:space="preserve">Workmanship Guarantee:</w:t>
      </w:r>
      <w:r>
        <w:t xml:space="preserve"> </w:t>
      </w:r>
      <w:r>
        <w:t xml:space="preserve">Sahel Construction &amp; Mason Services SARL guarantees all Mason work for a period of twenty-four (24) months from the date of final acceptance. Any structural masonry defects within this period shall be rectified at no additional cost.</w:t>
      </w:r>
    </w:p>
    <w:p>
      <w:pPr>
        <w:numPr>
          <w:ilvl w:val="0"/>
          <w:numId w:val="1001"/>
        </w:numPr>
        <w:pStyle w:val="Compact"/>
      </w:pPr>
      <w:r>
        <w:rPr>
          <w:bCs/>
          <w:b/>
        </w:rPr>
        <w:t xml:space="preserve">Delays:</w:t>
      </w:r>
      <w:r>
        <w:t xml:space="preserve"> </w:t>
      </w:r>
      <w:r>
        <w:t xml:space="preserve">In the event of force majeure (including but not limited to extreme weather common to the Dakar coastal climate, supply chain disruptions, or government-mandated work stoppages), the project timeline shall be extended proportionally.</w:t>
      </w:r>
    </w:p>
    <w:p>
      <w:pPr>
        <w:numPr>
          <w:ilvl w:val="0"/>
          <w:numId w:val="1001"/>
        </w:numPr>
        <w:pStyle w:val="Compact"/>
      </w:pPr>
      <w:r>
        <w:rPr>
          <w:bCs/>
          <w:b/>
        </w:rPr>
        <w:t xml:space="preserve">Dispute Resolution:</w:t>
      </w:r>
      <w:r>
        <w:t xml:space="preserve"> </w:t>
      </w:r>
      <w:r>
        <w:t xml:space="preserve">Any disputes arising from this Quotation Estimate shall be resolved amicably. Failing amicable resolution, matters shall be submitted to the competent courts of Dakar, Senegal.</w:t>
      </w:r>
    </w:p>
    <w:p>
      <w:pPr>
        <w:numPr>
          <w:ilvl w:val="0"/>
          <w:numId w:val="1001"/>
        </w:numPr>
        <w:pStyle w:val="Compact"/>
      </w:pPr>
      <w:r>
        <w:rPr>
          <w:bCs/>
          <w:b/>
        </w:rPr>
        <w:t xml:space="preserve">Subcontracting:</w:t>
      </w:r>
      <w:r>
        <w:t xml:space="preserve"> </w:t>
      </w:r>
      <w:r>
        <w:t xml:space="preserve">The primary Mason crew shall be employed directly by our company. No subcontracting of core Mason work shall occur without prior written consent from the client.</w:t>
      </w:r>
    </w:p>
    <w:p>
      <w:pPr>
        <w:pStyle w:val="FirstParagraph"/>
      </w:pPr>
      <w:r>
        <w:t xml:space="preserve">4. ASSUMPTIONS AND EXCLUSIONS</w:t>
      </w:r>
    </w:p>
    <w:p>
      <w:pPr>
        <w:pStyle w:val="BodyText"/>
      </w:pPr>
      <w:r>
        <w:t xml:space="preserve">This Quotation Estimate assumes that the site in Senegal Dakar has been properly cleared, leveled, and that all necessary building permits from the Mairie de Dakar and the Direction de l'Urbanisme have been obtained by the client prior to commencement. This estimate excludes: structural steel reinforcement supply, electrical and plumbing rough-in, roofing sheet installation, painting, tiling, and landscaping. Any additional Mason work requested beyond the scope described herein shall be subject to a supplementary Quotation Estimate issued separately.</w:t>
      </w:r>
    </w:p>
    <w:p>
      <w:pPr>
        <w:pStyle w:val="BodyText"/>
      </w:pPr>
      <w:r>
        <w:t xml:space="preserve">For Sahel Construction &amp; Mason Services SARL</w:t>
      </w:r>
    </w:p>
    <w:p>
      <w:pPr>
        <w:pStyle w:val="BodyText"/>
      </w:pPr>
      <w:r>
        <w:t xml:space="preserve">M. Ibrahima Sow – Project Director</w:t>
      </w:r>
      <w:r>
        <w:br/>
      </w:r>
      <w:r>
        <w:t xml:space="preserve">Signature &amp; Company Stamp</w:t>
      </w:r>
    </w:p>
    <w:p>
      <w:pPr>
        <w:pStyle w:val="BodyText"/>
      </w:pPr>
      <w:r>
        <w:t xml:space="preserve">For the Client</w:t>
      </w:r>
    </w:p>
    <w:p>
      <w:pPr>
        <w:pStyle w:val="BodyText"/>
      </w:pPr>
      <w:r>
        <w:t xml:space="preserve">M. Amadou Diop</w:t>
      </w:r>
      <w:r>
        <w:br/>
      </w:r>
      <w:r>
        <w:t xml:space="preserve">Signature &amp; Date</w:t>
      </w:r>
    </w:p>
    <w:p>
      <w:pPr>
        <w:pStyle w:val="BodyText"/>
      </w:pPr>
      <w:r>
        <w:rPr>
          <w:bCs/>
          <w:b/>
        </w:rPr>
        <w:t xml:space="preserve">Note:</w:t>
      </w:r>
      <w:r>
        <w:t xml:space="preserve"> </w:t>
      </w:r>
      <w:r>
        <w:t xml:space="preserve">This Quotation Estimate document is a formal commercial proposal for Mason and masonry construction services in Senegal Dakar. It does not constitute a binding contract until countersigned by both parties. All prices are quoted in West African CFA Francs (XOF). For any clarification regarding the scope of Mason work or the terms of this Quotation Estimate, please contact our office in Dakar at +221 33 864 52 10 or via email at quotes@sahelmason.sn. We thank you for considering Sahel Construction &amp; Mason Services SARL for your building project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Senegal Dakar</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