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31" w:name="quotation-estimate"/>
    <w:p>
      <w:pPr>
        <w:pStyle w:val="Heading1"/>
      </w:pPr>
      <w:r>
        <w:t xml:space="preserve">QUOTATION ESTIMATE</w:t>
      </w:r>
    </w:p>
    <w:p>
      <w:pPr>
        <w:pStyle w:val="FirstParagraph"/>
      </w:pPr>
      <w:r>
        <w:t xml:space="preserve">Mason Services</w:t>
      </w:r>
      <w:r>
        <w:t xml:space="preserve"> </w:t>
      </w:r>
      <w:r>
        <w:t xml:space="preserve"> </w:t>
      </w:r>
      <w:r>
        <w:t xml:space="preserve"> </w:t>
      </w:r>
      <w:r>
        <w:t xml:space="preserve">South Korea Seoul</w:t>
      </w:r>
    </w:p>
    <w:bookmarkStart w:id="20" w:name="provider"/>
    <w:p>
      <w:pPr>
        <w:pStyle w:val="Heading3"/>
      </w:pPr>
      <w:r>
        <w:t xml:space="preserve">Provider</w:t>
      </w:r>
    </w:p>
    <w:p>
      <w:pPr>
        <w:pStyle w:val="FirstParagraph"/>
      </w:pPr>
      <w:r>
        <w:rPr>
          <w:bCs/>
          <w:b/>
        </w:rPr>
        <w:t xml:space="preserve">Seoul Mason &amp; Construction Co., Ltd.</w:t>
      </w:r>
      <w:r>
        <w:br/>
      </w:r>
      <w:r>
        <w:t xml:space="preserve">42, Teheran-ro 39-gil, Gangnam-gu</w:t>
      </w:r>
      <w:r>
        <w:br/>
      </w:r>
      <w:r>
        <w:t xml:space="preserve">Seoul, South Korea 06180</w:t>
      </w:r>
      <w:r>
        <w:br/>
      </w:r>
      <w:r>
        <w:t xml:space="preserve">Tel: +82-2-555-0147</w:t>
      </w:r>
      <w:r>
        <w:br/>
      </w:r>
      <w:r>
        <w:t xml:space="preserve">Email: quotes@seoulmason.kr</w:t>
      </w:r>
      <w:r>
        <w:br/>
      </w:r>
      <w:r>
        <w:t xml:space="preserve">Business Registration No. 123-45-67890</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QTE-2025-SE-0847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r>
        <w:br/>
      </w:r>
      <w:r>
        <w:rPr>
          <w:bCs/>
          <w:b/>
        </w:rPr>
        <w:t xml:space="preserve">Project Location:</w:t>
      </w:r>
      <w:r>
        <w:t xml:space="preserve"> </w:t>
      </w:r>
      <w:r>
        <w:t xml:space="preserve">South Korea Seoul</w:t>
      </w:r>
      <w:r>
        <w:br/>
      </w:r>
      <w:r>
        <w:rPr>
          <w:bCs/>
          <w:b/>
        </w:rPr>
        <w:t xml:space="preserve">Prepared By:</w:t>
      </w:r>
      <w:r>
        <w:t xml:space="preserve"> </w:t>
      </w:r>
      <w:r>
        <w:t xml:space="preserve">Kim Dae-ho, Senior Mason Estimator</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Han River Residential Development Group</w:t>
      </w:r>
      <w:r>
        <w:br/>
      </w:r>
      <w:r>
        <w:rPr>
          <w:bCs/>
          <w:b/>
        </w:rPr>
        <w:t xml:space="preserve">Project Address:</w:t>
      </w:r>
      <w:r>
        <w:t xml:space="preserve"> </w:t>
      </w:r>
      <w:r>
        <w:t xml:space="preserve">18, Yeouido-dong, Yeongdeungpo-gu, Seoul, South Korea</w:t>
      </w:r>
      <w:r>
        <w:br/>
      </w:r>
      <w:r>
        <w:rPr>
          <w:bCs/>
          <w:b/>
        </w:rPr>
        <w:t xml:space="preserve">Contact Person:</w:t>
      </w:r>
      <w:r>
        <w:t xml:space="preserve"> </w:t>
      </w:r>
      <w:r>
        <w:t xml:space="preserve">Mr. Park Ji-hoon</w:t>
      </w:r>
      <w:r>
        <w:br/>
      </w:r>
      <w:r>
        <w:rPr>
          <w:bCs/>
          <w:b/>
        </w:rPr>
        <w:t xml:space="preserve">Contact Email:</w:t>
      </w:r>
      <w:r>
        <w:t xml:space="preserve"> </w:t>
      </w:r>
      <w:r>
        <w:t xml:space="preserve">jh.park@hanriverdev.kr</w:t>
      </w:r>
    </w:p>
    <w:bookmarkEnd w:id="22"/>
    <w:bookmarkStart w:id="23" w:name="purpose-of-this-quotation-estimate"/>
    <w:p>
      <w:pPr>
        <w:pStyle w:val="Heading2"/>
      </w:pPr>
      <w:r>
        <w:t xml:space="preserve">1. Purpose of This Quotation Estimate</w:t>
      </w:r>
    </w:p>
    <w:p>
      <w:pPr>
        <w:pStyle w:val="FirstParagraph"/>
      </w:pPr>
      <w:r>
        <w:t xml:space="preserve">This Quotation Estimate is issued by Seoul Mason &amp; Construction Co., Ltd. to provide a comprehensive and itemized cost breakdown for all masonry works required for the Han River Residential Development project located in South Korea Seoul. This document serves as a formal Quotation Estimate outlining the scope of Mason services, material specifications, labor costs, and associated charges. All pricing within this Quotation Estimate is based on current market rates in South Korea Seoul as of the date of issuance and reflects the expertise of our certified Mason professionals who specialize in residential and commercial masonry construction.</w:t>
      </w:r>
    </w:p>
    <w:bookmarkEnd w:id="23"/>
    <w:bookmarkStart w:id="24" w:name="scope-of-mason-services"/>
    <w:p>
      <w:pPr>
        <w:pStyle w:val="Heading2"/>
      </w:pPr>
      <w:r>
        <w:t xml:space="preserve">2. Scope of Mason Services</w:t>
      </w:r>
    </w:p>
    <w:p>
      <w:pPr>
        <w:pStyle w:val="FirstParagraph"/>
      </w:pPr>
      <w:r>
        <w:t xml:space="preserve">The following Mason services are included in this Quotation Estimate for the South Korea Seoul project site. Our team of licensed Mason craftsmen will execute all masonry work in strict compliance with the Korean Building Code (건축법) and local Seoul municipal regulations governing construction in the metropolitan area of South Korea Seoul.</w:t>
      </w:r>
    </w:p>
    <w:p>
      <w:pPr>
        <w:numPr>
          <w:ilvl w:val="0"/>
          <w:numId w:val="1001"/>
        </w:numPr>
        <w:pStyle w:val="Compact"/>
      </w:pPr>
      <w:r>
        <w:t xml:space="preserve">Foundation wall masonry using reinforced concrete blocks (200mm x 400mm x 100mm)</w:t>
      </w:r>
    </w:p>
    <w:p>
      <w:pPr>
        <w:numPr>
          <w:ilvl w:val="0"/>
          <w:numId w:val="1001"/>
        </w:numPr>
        <w:pStyle w:val="Compact"/>
      </w:pPr>
      <w:r>
        <w:t xml:space="preserve">Load-bearing exterior wall construction using fired clay bricks (230mm x 110mm x 70mm)</w:t>
      </w:r>
    </w:p>
    <w:p>
      <w:pPr>
        <w:numPr>
          <w:ilvl w:val="0"/>
          <w:numId w:val="1001"/>
        </w:numPr>
        <w:pStyle w:val="Compact"/>
      </w:pPr>
      <w:r>
        <w:t xml:space="preserve">Interior partition wall masonry using lightweight aerated concrete blocks</w:t>
      </w:r>
    </w:p>
    <w:p>
      <w:pPr>
        <w:numPr>
          <w:ilvl w:val="0"/>
          <w:numId w:val="1001"/>
        </w:numPr>
        <w:pStyle w:val="Compact"/>
      </w:pPr>
      <w:r>
        <w:t xml:space="preserve">Staircase stringer and riser masonry work</w:t>
      </w:r>
    </w:p>
    <w:p>
      <w:pPr>
        <w:numPr>
          <w:ilvl w:val="0"/>
          <w:numId w:val="1001"/>
        </w:numPr>
        <w:pStyle w:val="Compact"/>
      </w:pPr>
      <w:r>
        <w:t xml:space="preserve">Chimney and flue masonry construction (3 units)</w:t>
      </w:r>
    </w:p>
    <w:p>
      <w:pPr>
        <w:numPr>
          <w:ilvl w:val="0"/>
          <w:numId w:val="1001"/>
        </w:numPr>
        <w:pStyle w:val="Compact"/>
      </w:pPr>
      <w:r>
        <w:t xml:space="preserve">Decorative stone cladding on ground-floor facade (approximately 120 square meters)</w:t>
      </w:r>
    </w:p>
    <w:p>
      <w:pPr>
        <w:numPr>
          <w:ilvl w:val="0"/>
          <w:numId w:val="1001"/>
        </w:numPr>
        <w:pStyle w:val="Compact"/>
      </w:pPr>
      <w:r>
        <w:t xml:space="preserve">Mortar joint finishing and pointing in all Mason work areas</w:t>
      </w:r>
    </w:p>
    <w:p>
      <w:pPr>
        <w:numPr>
          <w:ilvl w:val="0"/>
          <w:numId w:val="1001"/>
        </w:numPr>
        <w:pStyle w:val="Compact"/>
      </w:pPr>
      <w:r>
        <w:t xml:space="preserve">Waterproofing membrane application on all Mason wall surfaces</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Mason Work</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01</w:t>
            </w:r>
          </w:p>
        </w:tc>
        <w:tc>
          <w:tcPr/>
          <w:p>
            <w:pPr>
              <w:pStyle w:val="Compact"/>
              <w:jc w:val="left"/>
            </w:pPr>
            <w:r>
              <w:t xml:space="preserve">Foundation wall masonry – concrete block laying with cement mortar (1:4 mix)</w:t>
            </w:r>
          </w:p>
        </w:tc>
        <w:tc>
          <w:tcPr/>
          <w:p>
            <w:pPr>
              <w:pStyle w:val="Compact"/>
              <w:jc w:val="left"/>
            </w:pPr>
            <w:r>
              <w:t xml:space="preserve">340</w:t>
            </w:r>
          </w:p>
        </w:tc>
        <w:tc>
          <w:tcPr/>
          <w:p>
            <w:pPr>
              <w:pStyle w:val="Compact"/>
              <w:jc w:val="left"/>
            </w:pPr>
            <w:r>
              <w:t xml:space="preserve">m²</w:t>
            </w:r>
          </w:p>
        </w:tc>
        <w:tc>
          <w:tcPr/>
          <w:p>
            <w:pPr>
              <w:pStyle w:val="Compact"/>
              <w:jc w:val="left"/>
            </w:pPr>
            <w:r>
              <w:t xml:space="preserve">85,000</w:t>
            </w:r>
          </w:p>
        </w:tc>
        <w:tc>
          <w:tcPr/>
          <w:p>
            <w:pPr>
              <w:pStyle w:val="Compact"/>
              <w:jc w:val="left"/>
            </w:pPr>
            <w:r>
              <w:t xml:space="preserve">28,900,000</w:t>
            </w:r>
          </w:p>
        </w:tc>
      </w:tr>
      <w:tr>
        <w:tc>
          <w:tcPr/>
          <w:p>
            <w:pPr>
              <w:pStyle w:val="Compact"/>
              <w:jc w:val="left"/>
            </w:pPr>
            <w:r>
              <w:t xml:space="preserve">02</w:t>
            </w:r>
          </w:p>
        </w:tc>
        <w:tc>
          <w:tcPr/>
          <w:p>
            <w:pPr>
              <w:pStyle w:val="Compact"/>
              <w:jc w:val="left"/>
            </w:pPr>
            <w:r>
              <w:t xml:space="preserve">Exterior load-bearing brick wall – fired clay brick Mason work</w:t>
            </w:r>
          </w:p>
        </w:tc>
        <w:tc>
          <w:tcPr/>
          <w:p>
            <w:pPr>
              <w:pStyle w:val="Compact"/>
              <w:jc w:val="left"/>
            </w:pPr>
            <w:r>
              <w:t xml:space="preserve">620</w:t>
            </w:r>
          </w:p>
        </w:tc>
        <w:tc>
          <w:tcPr/>
          <w:p>
            <w:pPr>
              <w:pStyle w:val="Compact"/>
              <w:jc w:val="left"/>
            </w:pPr>
            <w:r>
              <w:t xml:space="preserve">m²</w:t>
            </w:r>
          </w:p>
        </w:tc>
        <w:tc>
          <w:tcPr/>
          <w:p>
            <w:pPr>
              <w:pStyle w:val="Compact"/>
              <w:jc w:val="left"/>
            </w:pPr>
            <w:r>
              <w:t xml:space="preserve">112,000</w:t>
            </w:r>
          </w:p>
        </w:tc>
        <w:tc>
          <w:tcPr/>
          <w:p>
            <w:pPr>
              <w:pStyle w:val="Compact"/>
              <w:jc w:val="left"/>
            </w:pPr>
            <w:r>
              <w:t xml:space="preserve">69,440,000</w:t>
            </w:r>
          </w:p>
        </w:tc>
      </w:tr>
      <w:tr>
        <w:tc>
          <w:tcPr/>
          <w:p>
            <w:pPr>
              <w:pStyle w:val="Compact"/>
              <w:jc w:val="left"/>
            </w:pPr>
            <w:r>
              <w:t xml:space="preserve">03</w:t>
            </w:r>
          </w:p>
        </w:tc>
        <w:tc>
          <w:tcPr/>
          <w:p>
            <w:pPr>
              <w:pStyle w:val="Compact"/>
              <w:jc w:val="left"/>
            </w:pPr>
            <w:r>
              <w:t xml:space="preserve">Interior partition wall – aerated concrete block Mason work</w:t>
            </w:r>
          </w:p>
        </w:tc>
        <w:tc>
          <w:tcPr/>
          <w:p>
            <w:pPr>
              <w:pStyle w:val="Compact"/>
              <w:jc w:val="left"/>
            </w:pPr>
            <w:r>
              <w:t xml:space="preserve">480</w:t>
            </w:r>
          </w:p>
        </w:tc>
        <w:tc>
          <w:tcPr/>
          <w:p>
            <w:pPr>
              <w:pStyle w:val="Compact"/>
              <w:jc w:val="left"/>
            </w:pPr>
            <w:r>
              <w:t xml:space="preserve">m²</w:t>
            </w:r>
          </w:p>
        </w:tc>
        <w:tc>
          <w:tcPr/>
          <w:p>
            <w:pPr>
              <w:pStyle w:val="Compact"/>
              <w:jc w:val="left"/>
            </w:pPr>
            <w:r>
              <w:t xml:space="preserve">68,000</w:t>
            </w:r>
          </w:p>
        </w:tc>
        <w:tc>
          <w:tcPr/>
          <w:p>
            <w:pPr>
              <w:pStyle w:val="Compact"/>
              <w:jc w:val="left"/>
            </w:pPr>
            <w:r>
              <w:t xml:space="preserve">32,640,000</w:t>
            </w:r>
          </w:p>
        </w:tc>
      </w:tr>
      <w:tr>
        <w:tc>
          <w:tcPr/>
          <w:p>
            <w:pPr>
              <w:pStyle w:val="Compact"/>
              <w:jc w:val="left"/>
            </w:pPr>
            <w:r>
              <w:t xml:space="preserve">04</w:t>
            </w:r>
          </w:p>
        </w:tc>
        <w:tc>
          <w:tcPr/>
          <w:p>
            <w:pPr>
              <w:pStyle w:val="Compact"/>
              <w:jc w:val="left"/>
            </w:pPr>
            <w:r>
              <w:t xml:space="preserve">Staircase masonry – stringer, riser, and tread construction</w:t>
            </w:r>
          </w:p>
        </w:tc>
        <w:tc>
          <w:tcPr/>
          <w:p>
            <w:pPr>
              <w:pStyle w:val="Compact"/>
              <w:jc w:val="left"/>
            </w:pPr>
            <w:r>
              <w:t xml:space="preserve">3</w:t>
            </w:r>
          </w:p>
        </w:tc>
        <w:tc>
          <w:tcPr/>
          <w:p>
            <w:pPr>
              <w:pStyle w:val="Compact"/>
              <w:jc w:val="left"/>
            </w:pPr>
            <w:r>
              <w:t xml:space="preserve">sets</w:t>
            </w:r>
          </w:p>
        </w:tc>
        <w:tc>
          <w:tcPr/>
          <w:p>
            <w:pPr>
              <w:pStyle w:val="Compact"/>
              <w:jc w:val="left"/>
            </w:pPr>
            <w:r>
              <w:t xml:space="preserve">2,800,000</w:t>
            </w:r>
          </w:p>
        </w:tc>
        <w:tc>
          <w:tcPr/>
          <w:p>
            <w:pPr>
              <w:pStyle w:val="Compact"/>
              <w:jc w:val="left"/>
            </w:pPr>
            <w:r>
              <w:t xml:space="preserve">8,400,000</w:t>
            </w:r>
          </w:p>
        </w:tc>
      </w:tr>
      <w:tr>
        <w:tc>
          <w:tcPr/>
          <w:p>
            <w:pPr>
              <w:pStyle w:val="Compact"/>
              <w:jc w:val="left"/>
            </w:pPr>
            <w:r>
              <w:t xml:space="preserve">05</w:t>
            </w:r>
          </w:p>
        </w:tc>
        <w:tc>
          <w:tcPr/>
          <w:p>
            <w:pPr>
              <w:pStyle w:val="Compact"/>
              <w:jc w:val="left"/>
            </w:pPr>
            <w:r>
              <w:t xml:space="preserve">Chimney and flue masonry (3 units, 12m height each)</w:t>
            </w:r>
          </w:p>
        </w:tc>
        <w:tc>
          <w:tcPr/>
          <w:p>
            <w:pPr>
              <w:pStyle w:val="Compact"/>
              <w:jc w:val="left"/>
            </w:pPr>
            <w:r>
              <w:t xml:space="preserve">3</w:t>
            </w:r>
          </w:p>
        </w:tc>
        <w:tc>
          <w:tcPr/>
          <w:p>
            <w:pPr>
              <w:pStyle w:val="Compact"/>
              <w:jc w:val="left"/>
            </w:pPr>
            <w:r>
              <w:t xml:space="preserve">units</w:t>
            </w:r>
          </w:p>
        </w:tc>
        <w:tc>
          <w:tcPr/>
          <w:p>
            <w:pPr>
              <w:pStyle w:val="Compact"/>
              <w:jc w:val="left"/>
            </w:pPr>
            <w:r>
              <w:t xml:space="preserve">1,950,000</w:t>
            </w:r>
          </w:p>
        </w:tc>
        <w:tc>
          <w:tcPr/>
          <w:p>
            <w:pPr>
              <w:pStyle w:val="Compact"/>
              <w:jc w:val="left"/>
            </w:pPr>
            <w:r>
              <w:t xml:space="preserve">5,850,000</w:t>
            </w:r>
          </w:p>
        </w:tc>
      </w:tr>
      <w:tr>
        <w:tc>
          <w:tcPr/>
          <w:p>
            <w:pPr>
              <w:pStyle w:val="Compact"/>
              <w:jc w:val="left"/>
            </w:pPr>
            <w:r>
              <w:t xml:space="preserve">06</w:t>
            </w:r>
          </w:p>
        </w:tc>
        <w:tc>
          <w:tcPr/>
          <w:p>
            <w:pPr>
              <w:pStyle w:val="Compact"/>
              <w:jc w:val="left"/>
            </w:pPr>
            <w:r>
              <w:t xml:space="preserve">Decorative granite stone cladding – ground floor facade</w:t>
            </w:r>
          </w:p>
        </w:tc>
        <w:tc>
          <w:tcPr/>
          <w:p>
            <w:pPr>
              <w:pStyle w:val="Compact"/>
              <w:jc w:val="left"/>
            </w:pPr>
            <w:r>
              <w:t xml:space="preserve">120</w:t>
            </w:r>
          </w:p>
        </w:tc>
        <w:tc>
          <w:tcPr/>
          <w:p>
            <w:pPr>
              <w:pStyle w:val="Compact"/>
              <w:jc w:val="left"/>
            </w:pPr>
            <w:r>
              <w:t xml:space="preserve">m²</w:t>
            </w:r>
          </w:p>
        </w:tc>
        <w:tc>
          <w:tcPr/>
          <w:p>
            <w:pPr>
              <w:pStyle w:val="Compact"/>
              <w:jc w:val="left"/>
            </w:pPr>
            <w:r>
              <w:t xml:space="preserve">195,000</w:t>
            </w:r>
          </w:p>
        </w:tc>
        <w:tc>
          <w:tcPr/>
          <w:p>
            <w:pPr>
              <w:pStyle w:val="Compact"/>
              <w:jc w:val="left"/>
            </w:pPr>
            <w:r>
              <w:t xml:space="preserve">23,400,000</w:t>
            </w:r>
          </w:p>
        </w:tc>
      </w:tr>
      <w:tr>
        <w:tc>
          <w:tcPr/>
          <w:p>
            <w:pPr>
              <w:pStyle w:val="Compact"/>
              <w:jc w:val="left"/>
            </w:pPr>
            <w:r>
              <w:t xml:space="preserve">07</w:t>
            </w:r>
          </w:p>
        </w:tc>
        <w:tc>
          <w:tcPr/>
          <w:p>
            <w:pPr>
              <w:pStyle w:val="Compact"/>
              <w:jc w:val="left"/>
            </w:pPr>
            <w:r>
              <w:t xml:space="preserve">Mortar joint finishing, pointing, and surface treatment</w:t>
            </w:r>
          </w:p>
        </w:tc>
        <w:tc>
          <w:tcPr/>
          <w:p>
            <w:pPr>
              <w:pStyle w:val="Compact"/>
              <w:jc w:val="left"/>
            </w:pPr>
            <w:r>
              <w:t xml:space="preserve">1,560</w:t>
            </w:r>
          </w:p>
        </w:tc>
        <w:tc>
          <w:tcPr/>
          <w:p>
            <w:pPr>
              <w:pStyle w:val="Compact"/>
              <w:jc w:val="left"/>
            </w:pPr>
            <w:r>
              <w:t xml:space="preserve">m²</w:t>
            </w:r>
          </w:p>
        </w:tc>
        <w:tc>
          <w:tcPr/>
          <w:p>
            <w:pPr>
              <w:pStyle w:val="Compact"/>
              <w:jc w:val="left"/>
            </w:pPr>
            <w:r>
              <w:t xml:space="preserve">18,500</w:t>
            </w:r>
          </w:p>
        </w:tc>
        <w:tc>
          <w:tcPr/>
          <w:p>
            <w:pPr>
              <w:pStyle w:val="Compact"/>
              <w:jc w:val="left"/>
            </w:pPr>
            <w:r>
              <w:t xml:space="preserve">28,860,000</w:t>
            </w:r>
          </w:p>
        </w:tc>
      </w:tr>
      <w:tr>
        <w:tc>
          <w:tcPr/>
          <w:p>
            <w:pPr>
              <w:pStyle w:val="Compact"/>
              <w:jc w:val="left"/>
            </w:pPr>
            <w:r>
              <w:t xml:space="preserve">08</w:t>
            </w:r>
          </w:p>
        </w:tc>
        <w:tc>
          <w:tcPr/>
          <w:p>
            <w:pPr>
              <w:pStyle w:val="Compact"/>
              <w:jc w:val="left"/>
            </w:pPr>
            <w:r>
              <w:t xml:space="preserve">Waterproofing membrane application on Mason surfaces</w:t>
            </w:r>
          </w:p>
        </w:tc>
        <w:tc>
          <w:tcPr/>
          <w:p>
            <w:pPr>
              <w:pStyle w:val="Compact"/>
              <w:jc w:val="left"/>
            </w:pPr>
            <w:r>
              <w:t xml:space="preserve">1,560</w:t>
            </w:r>
          </w:p>
        </w:tc>
        <w:tc>
          <w:tcPr/>
          <w:p>
            <w:pPr>
              <w:pStyle w:val="Compact"/>
              <w:jc w:val="left"/>
            </w:pPr>
            <w:r>
              <w:t xml:space="preserve">m²</w:t>
            </w:r>
          </w:p>
        </w:tc>
        <w:tc>
          <w:tcPr/>
          <w:p>
            <w:pPr>
              <w:pStyle w:val="Compact"/>
              <w:jc w:val="left"/>
            </w:pPr>
            <w:r>
              <w:t xml:space="preserve">32,000</w:t>
            </w:r>
          </w:p>
        </w:tc>
        <w:tc>
          <w:tcPr/>
          <w:p>
            <w:pPr>
              <w:pStyle w:val="Compact"/>
              <w:jc w:val="left"/>
            </w:pPr>
            <w:r>
              <w:t xml:space="preserve">49,920,000</w:t>
            </w:r>
          </w:p>
        </w:tc>
      </w:tr>
      <w:tr>
        <w:tc>
          <w:tcPr/>
          <w:p>
            <w:pPr>
              <w:pStyle w:val="Compact"/>
              <w:jc w:val="left"/>
            </w:pPr>
            <w:r>
              <w:t xml:space="preserve">09</w:t>
            </w:r>
          </w:p>
        </w:tc>
        <w:tc>
          <w:tcPr/>
          <w:p>
            <w:pPr>
              <w:pStyle w:val="Compact"/>
              <w:jc w:val="left"/>
            </w:pPr>
            <w:r>
              <w:t xml:space="preserve">Scaffolding, formwork, and temporary Mason support structures</w:t>
            </w:r>
          </w:p>
        </w:tc>
        <w:tc>
          <w:tcPr/>
          <w:p>
            <w:pPr>
              <w:pStyle w:val="Compact"/>
              <w:jc w:val="left"/>
            </w:pPr>
            <w:r>
              <w:t xml:space="preserve">1</w:t>
            </w:r>
          </w:p>
        </w:tc>
        <w:tc>
          <w:tcPr/>
          <w:p>
            <w:pPr>
              <w:pStyle w:val="Compact"/>
              <w:jc w:val="left"/>
            </w:pPr>
            <w:r>
              <w:t xml:space="preserve">lot</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10</w:t>
            </w:r>
          </w:p>
        </w:tc>
        <w:tc>
          <w:tcPr/>
          <w:p>
            <w:pPr>
              <w:pStyle w:val="Compact"/>
              <w:jc w:val="left"/>
            </w:pPr>
            <w:r>
              <w:t xml:space="preserve">Site supervision by certified Mason foreman and quality inspector</w:t>
            </w:r>
          </w:p>
        </w:tc>
        <w:tc>
          <w:tcPr/>
          <w:p>
            <w:pPr>
              <w:pStyle w:val="Compact"/>
              <w:jc w:val="left"/>
            </w:pPr>
            <w:r>
              <w:t xml:space="preserve">45</w:t>
            </w:r>
          </w:p>
        </w:tc>
        <w:tc>
          <w:tcPr/>
          <w:p>
            <w:pPr>
              <w:pStyle w:val="Compact"/>
              <w:jc w:val="left"/>
            </w:pPr>
            <w:r>
              <w:t xml:space="preserve">days</w:t>
            </w:r>
          </w:p>
        </w:tc>
        <w:tc>
          <w:tcPr/>
          <w:p>
            <w:pPr>
              <w:pStyle w:val="Compact"/>
              <w:jc w:val="left"/>
            </w:pPr>
            <w:r>
              <w:t xml:space="preserve">380,000</w:t>
            </w:r>
          </w:p>
        </w:tc>
        <w:tc>
          <w:tcPr/>
          <w:p>
            <w:pPr>
              <w:pStyle w:val="Compact"/>
              <w:jc w:val="left"/>
            </w:pPr>
            <w:r>
              <w:t xml:space="preserve">17,100,000</w:t>
            </w:r>
          </w:p>
        </w:tc>
      </w:tr>
      <w:tr>
        <w:tc>
          <w:tcPr>
            <w:gridSpan w:val="5"/>
          </w:tcPr>
          <w:p>
            <w:pPr>
              <w:pStyle w:val="Compact"/>
              <w:jc w:val="left"/>
            </w:pPr>
            <w:r>
              <w:t xml:space="preserve">Subtotal</w:t>
            </w:r>
          </w:p>
        </w:tc>
        <w:tc>
          <w:tcPr/>
          <w:p>
            <w:pPr>
              <w:pStyle w:val="Compact"/>
              <w:jc w:val="left"/>
            </w:pPr>
            <w:r>
              <w:t xml:space="preserve">276,910,000</w:t>
            </w:r>
          </w:p>
        </w:tc>
      </w:tr>
      <w:tr>
        <w:tc>
          <w:tcPr>
            <w:gridSpan w:val="5"/>
          </w:tcPr>
          <w:p>
            <w:pPr>
              <w:pStyle w:val="Compact"/>
              <w:jc w:val="left"/>
            </w:pPr>
            <w:r>
              <w:t xml:space="preserve">VAT (10% – South Korea Seoul standard rate)</w:t>
            </w:r>
          </w:p>
        </w:tc>
        <w:tc>
          <w:tcPr/>
          <w:p>
            <w:pPr>
              <w:pStyle w:val="Compact"/>
              <w:jc w:val="left"/>
            </w:pPr>
            <w:r>
              <w:t xml:space="preserve">27,691,000</w:t>
            </w:r>
          </w:p>
        </w:tc>
      </w:tr>
      <w:tr>
        <w:tc>
          <w:tcPr>
            <w:gridSpan w:val="5"/>
          </w:tcPr>
          <w:p>
            <w:pPr>
              <w:pStyle w:val="Compact"/>
              <w:jc w:val="left"/>
            </w:pPr>
            <w:r>
              <w:rPr>
                <w:bCs/>
                <w:b/>
              </w:rPr>
              <w:t xml:space="preserve">TOTAL QUOTATION ESTIMATE AMOUNT</w:t>
            </w:r>
          </w:p>
        </w:tc>
        <w:tc>
          <w:tcPr/>
          <w:p>
            <w:pPr>
              <w:pStyle w:val="Compact"/>
              <w:jc w:val="left"/>
            </w:pPr>
            <w:r>
              <w:rPr>
                <w:bCs/>
                <w:b/>
              </w:rPr>
              <w:t xml:space="preserve">304,601,000</w:t>
            </w:r>
          </w:p>
        </w:tc>
      </w:tr>
    </w:tbl>
    <w:bookmarkEnd w:id="25"/>
    <w:bookmarkStart w:id="26" w:name="materials-and-specifications"/>
    <w:p>
      <w:pPr>
        <w:pStyle w:val="Heading2"/>
      </w:pPr>
      <w:r>
        <w:t xml:space="preserve">4. Materials and Specifications</w:t>
      </w:r>
    </w:p>
    <w:p>
      <w:pPr>
        <w:pStyle w:val="FirstParagraph"/>
      </w:pPr>
      <w:r>
        <w:t xml:space="preserve">All Mason materials referenced in this Quotation Estimate shall comply with Korean Industrial Standards (KS). Fired clay bricks must meet KS F 2521 specifications. Cement mortar shall be prepared using Type I Portland cement (KS L 9001) with a water-to-cement ratio not exceeding 0.55. Decorative granite cladding shall be sourced from certified quarries in the Gyeonggi region adjacent to South Korea Seoul. All Mason work shall be inspected at each construction phase by both our in-house quality team and the client's appointed structural engineer.</w:t>
      </w:r>
    </w:p>
    <w:bookmarkEnd w:id="26"/>
    <w:bookmarkStart w:id="27" w:name="project-timeline"/>
    <w:p>
      <w:pPr>
        <w:pStyle w:val="Heading2"/>
      </w:pPr>
      <w:r>
        <w:t xml:space="preserve">5. Project Timeline</w:t>
      </w:r>
    </w:p>
    <w:p>
      <w:pPr>
        <w:pStyle w:val="FirstParagraph"/>
      </w:pPr>
      <w:r>
        <w:t xml:space="preserve">Based on the scope of Mason work detailed in this Quotation Estimate, the estimated duration for full completion is 45 working days from the date of site mobilization in South Korea Seoul. The schedule accounts for weather-dependent curing periods, material delivery lead times within the Seoul metropolitan area, and mandatory inspection hold points required by the Seoul Metropolitan Government construction oversight office.</w:t>
      </w:r>
    </w:p>
    <w:bookmarkEnd w:id="27"/>
    <w:bookmarkStart w:id="28" w:name="payment-terms"/>
    <w:p>
      <w:pPr>
        <w:pStyle w:val="Heading2"/>
      </w:pPr>
      <w:r>
        <w:t xml:space="preserve">6. Payment Terms</w:t>
      </w:r>
    </w:p>
    <w:p>
      <w:pPr>
        <w:pStyle w:val="FirstParagraph"/>
      </w:pPr>
      <w:r>
        <w:t xml:space="preserve">Payment for the Mason services outlined in this Quotation Estimate shall be structured as follows: 30% advance payment upon contract execution, 40% progress payment upon completion of all structural Mason work (items 01–04), and 30% final payment upon successful completion and sign-off of all remaining Mason work items. All payments shall be made in Korean Won (KRW) via bank transfer to the account designated by Seoul Mason &amp; Construction Co., Ltd.</w:t>
      </w:r>
    </w:p>
    <w:bookmarkEnd w:id="28"/>
    <w:bookmarkStart w:id="29" w:name="terms-and-conditions"/>
    <w:p>
      <w:pPr>
        <w:pStyle w:val="Heading2"/>
      </w:pPr>
      <w:r>
        <w:t xml:space="preserve">7. Terms and Conditions</w:t>
      </w:r>
    </w:p>
    <w:p>
      <w:pPr>
        <w:numPr>
          <w:ilvl w:val="0"/>
          <w:numId w:val="1002"/>
        </w:numPr>
        <w:pStyle w:val="Compact"/>
      </w:pPr>
      <w:r>
        <w:t xml:space="preserve">This Quotation Estimate is valid for 30 calendar days from the date of issuance. After 14 July 2025, pricing may be subject to revision based on material cost fluctuations in South Korea Seoul.</w:t>
      </w:r>
    </w:p>
    <w:p>
      <w:pPr>
        <w:numPr>
          <w:ilvl w:val="0"/>
          <w:numId w:val="1002"/>
        </w:numPr>
        <w:pStyle w:val="Compact"/>
      </w:pPr>
      <w:r>
        <w:t xml:space="preserve">Any changes to the scope of Mason work beyond 10% of the original quantity shall require a supplementary Quotation Estimate issued in writing.</w:t>
      </w:r>
    </w:p>
    <w:p>
      <w:pPr>
        <w:numPr>
          <w:ilvl w:val="0"/>
          <w:numId w:val="1002"/>
        </w:numPr>
        <w:pStyle w:val="Compact"/>
      </w:pPr>
      <w:r>
        <w:t xml:space="preserve">The client is responsible for obtaining all necessary construction permits from the Seoul Metropolitan Government prior to commencement of Mason work.</w:t>
      </w:r>
    </w:p>
    <w:p>
      <w:pPr>
        <w:numPr>
          <w:ilvl w:val="0"/>
          <w:numId w:val="1002"/>
        </w:numPr>
        <w:pStyle w:val="Compact"/>
      </w:pPr>
      <w:r>
        <w:t xml:space="preserve">Seoul Mason &amp; Construction Co., Ltd. provides a 24-month warranty on all Mason work against structural defects and workmanship failures.</w:t>
      </w:r>
    </w:p>
    <w:p>
      <w:pPr>
        <w:numPr>
          <w:ilvl w:val="0"/>
          <w:numId w:val="1002"/>
        </w:numPr>
        <w:pStyle w:val="Compact"/>
      </w:pPr>
      <w:r>
        <w:t xml:space="preserve">This Quotation Estimate does not constitute a binding contract until both parties execute the formal construction contract document.</w:t>
      </w:r>
    </w:p>
    <w:bookmarkEnd w:id="29"/>
    <w:bookmarkStart w:id="30" w:name="acceptance-and-authorization"/>
    <w:p>
      <w:pPr>
        <w:pStyle w:val="Heading2"/>
      </w:pPr>
      <w:r>
        <w:t xml:space="preserve">8. Acceptance and Authorization</w:t>
      </w:r>
    </w:p>
    <w:p>
      <w:pPr>
        <w:pStyle w:val="FirstParagraph"/>
      </w:pPr>
      <w:r>
        <w:t xml:space="preserve">By signing below, the client acknowledges receipt of this Quotation Estimate for Mason services in South Korea Seoul and agrees to the terms, conditions, and pricing outlined herein. This signature indicates intent to proceed but does not constitute a final contract until the formal agreement is executed.</w:t>
      </w:r>
    </w:p>
    <w:p>
      <w:pPr>
        <w:pStyle w:val="BodyText"/>
      </w:pPr>
      <w:r>
        <w:rPr>
          <w:bCs/>
          <w:b/>
        </w:rPr>
        <w:t xml:space="preserve">For Seoul Mason &amp; Construction Co., Ltd.</w:t>
      </w:r>
      <w:r>
        <w:br/>
      </w:r>
      <w:r>
        <w:br/>
      </w:r>
      <w:r>
        <w:t xml:space="preserve">_______________________________</w:t>
      </w:r>
      <w:r>
        <w:br/>
      </w:r>
      <w:r>
        <w:t xml:space="preserve">Kim Dae-ho</w:t>
      </w:r>
      <w:r>
        <w:br/>
      </w:r>
      <w:r>
        <w:t xml:space="preserve">Senior Mason Estimator</w:t>
      </w:r>
      <w:r>
        <w:br/>
      </w:r>
      <w:r>
        <w:t xml:space="preserve">Date: _______________</w:t>
      </w:r>
    </w:p>
    <w:p>
      <w:pPr>
        <w:pStyle w:val="BodyText"/>
      </w:pPr>
      <w:r>
        <w:rPr>
          <w:bCs/>
          <w:b/>
        </w:rPr>
        <w:t xml:space="preserve">For Han River Residential Development Group</w:t>
      </w:r>
      <w:r>
        <w:br/>
      </w:r>
      <w:r>
        <w:br/>
      </w:r>
      <w:r>
        <w:t xml:space="preserve">_______________________________</w:t>
      </w:r>
      <w:r>
        <w:br/>
      </w:r>
      <w:r>
        <w:t xml:space="preserve">Park Ji-hoon</w:t>
      </w:r>
      <w:r>
        <w:br/>
      </w:r>
      <w:r>
        <w:t xml:space="preserve">Project Director</w:t>
      </w:r>
      <w:r>
        <w:br/>
      </w:r>
      <w:r>
        <w:t xml:space="preserve">Date: _______________</w:t>
      </w:r>
    </w:p>
    <w:p>
      <w:pPr>
        <w:pStyle w:val="BodyText"/>
      </w:pPr>
      <w:r>
        <w:rPr>
          <w:bCs/>
          <w:b/>
        </w:rPr>
        <w:t xml:space="preserve">Seoul Mason &amp; Construction Co., Ltd.</w:t>
      </w:r>
      <w:r>
        <w:t xml:space="preserve"> </w:t>
      </w:r>
      <w:r>
        <w:t xml:space="preserve">– Quotation Estimate No. QTE-2025-SE-0847</w:t>
      </w:r>
      <w:r>
        <w:br/>
      </w:r>
      <w:r>
        <w:t xml:space="preserve">This document is the property of Seoul Mason &amp; Construction Co., Ltd. and is intended solely for the use of the named client in connection with the South Korea Seoul project. Unauthorized reproduction or distribution of this Quotation Estimate is prohibited.</w:t>
      </w:r>
      <w:r>
        <w:br/>
      </w:r>
      <w:r>
        <w:t xml:space="preserve">Page 1 of 1 | Generated: 14 June 2025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South Korea Seoul</dc:title>
  <dc:creator/>
  <dc:language>en</dc:language>
  <cp:keywords/>
  <dcterms:created xsi:type="dcterms:W3CDTF">2026-10-10T04:20:50Z</dcterms:created>
  <dcterms:modified xsi:type="dcterms:W3CDTF">2026-10-10T04:20:50Z</dcterms:modified>
</cp:coreProperties>
</file>

<file path=docProps/custom.xml><?xml version="1.0" encoding="utf-8"?>
<Properties xmlns="http://schemas.openxmlformats.org/officeDocument/2006/custom-properties" xmlns:vt="http://schemas.openxmlformats.org/officeDocument/2006/docPropsVTypes"/>
</file>