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Mason</w:t>
      </w:r>
      <w:r>
        <w:t xml:space="preserve"> </w:t>
      </w:r>
      <w:r>
        <w:t xml:space="preserve">-</w:t>
      </w:r>
      <w:r>
        <w:t xml:space="preserve"> </w:t>
      </w:r>
      <w:r>
        <w:t xml:space="preserve">Spain</w:t>
      </w:r>
      <w:r>
        <w:t xml:space="preserve"> </w:t>
      </w:r>
      <w:r>
        <w:t xml:space="preserve">Madrid</w:t>
      </w:r>
    </w:p>
    <w:bookmarkStart w:id="20" w:name="quotation-estimate"/>
    <w:p>
      <w:pPr>
        <w:pStyle w:val="Heading1"/>
      </w:pPr>
      <w:r>
        <w:t xml:space="preserve">QUOTATION ESTIMATE</w:t>
      </w:r>
    </w:p>
    <w:p>
      <w:pPr>
        <w:pStyle w:val="FirstParagraph"/>
      </w:pPr>
      <w:r>
        <w:t xml:space="preserve">Mason Professional Stonework &amp; Masonry Services — Spain Madrid</w:t>
      </w:r>
    </w:p>
    <w:p>
      <w:pPr>
        <w:pStyle w:val="BodyText"/>
      </w:pPr>
      <w:r>
        <w:t xml:space="preserve">Ref: QTE-2025-MAD-0472 | Issued: 12 June 2025 | Valid Until: 12 July 2025</w:t>
      </w:r>
    </w:p>
    <w:bookmarkEnd w:id="20"/>
    <w:bookmarkStart w:id="21" w:name="prepared-by"/>
    <w:p>
      <w:pPr>
        <w:pStyle w:val="Heading3"/>
      </w:pPr>
      <w:r>
        <w:t xml:space="preserve">Prepared By</w:t>
      </w:r>
    </w:p>
    <w:p>
      <w:pPr>
        <w:pStyle w:val="FirstParagraph"/>
      </w:pPr>
      <w:r>
        <w:rPr>
          <w:bCs/>
          <w:b/>
        </w:rPr>
        <w:t xml:space="preserve">Mason</w:t>
      </w:r>
      <w:r>
        <w:t xml:space="preserve"> </w:t>
      </w:r>
      <w:r>
        <w:t xml:space="preserve">— Masonry &amp; Stonework Specialists</w:t>
      </w:r>
    </w:p>
    <w:p>
      <w:pPr>
        <w:pStyle w:val="BodyText"/>
      </w:pPr>
      <w:r>
        <w:t xml:space="preserve">Calle de Alcalá 214, 3rd Floor</w:t>
      </w:r>
    </w:p>
    <w:p>
      <w:pPr>
        <w:pStyle w:val="BodyText"/>
      </w:pPr>
      <w:r>
        <w:t xml:space="preserve">28028 Madrid, Spain</w:t>
      </w:r>
    </w:p>
    <w:p>
      <w:pPr>
        <w:pStyle w:val="BodyText"/>
      </w:pPr>
      <w:r>
        <w:t xml:space="preserve">Tel: +34 91 555 0142</w:t>
      </w:r>
    </w:p>
    <w:p>
      <w:pPr>
        <w:pStyle w:val="BodyText"/>
      </w:pPr>
      <w:r>
        <w:t xml:space="preserve">Email: estimates@mason-madrid.es</w:t>
      </w:r>
    </w:p>
    <w:p>
      <w:pPr>
        <w:pStyle w:val="BodyText"/>
      </w:pPr>
      <w:r>
        <w:t xml:space="preserve">CIF: B-87654321</w:t>
      </w:r>
    </w:p>
    <w:bookmarkEnd w:id="21"/>
    <w:bookmarkStart w:id="22" w:name="prepared-for"/>
    <w:p>
      <w:pPr>
        <w:pStyle w:val="Heading3"/>
      </w:pPr>
      <w:r>
        <w:t xml:space="preserve">Prepared For</w:t>
      </w:r>
    </w:p>
    <w:p>
      <w:pPr>
        <w:pStyle w:val="FirstParagraph"/>
      </w:pPr>
      <w:r>
        <w:rPr>
          <w:bCs/>
          <w:b/>
        </w:rPr>
        <w:t xml:space="preserve">Don Alejandro Fernández Ruiz</w:t>
      </w:r>
    </w:p>
    <w:p>
      <w:pPr>
        <w:pStyle w:val="BodyText"/>
      </w:pPr>
      <w:r>
        <w:t xml:space="preserve">Residencia Los Olivos</w:t>
      </w:r>
    </w:p>
    <w:p>
      <w:pPr>
        <w:pStyle w:val="BodyText"/>
      </w:pPr>
      <w:r>
        <w:t xml:space="preserve">Av. de la Ilustración 87, 4ºB</w:t>
      </w:r>
    </w:p>
    <w:p>
      <w:pPr>
        <w:pStyle w:val="BodyText"/>
      </w:pPr>
      <w:r>
        <w:t xml:space="preserve">28040 Madrid, Spain</w:t>
      </w:r>
    </w:p>
    <w:p>
      <w:pPr>
        <w:pStyle w:val="BodyText"/>
      </w:pPr>
      <w:r>
        <w:t xml:space="preserve">Tel: +34 612 334 567</w:t>
      </w:r>
    </w:p>
    <w:p>
      <w:pPr>
        <w:pStyle w:val="BodyText"/>
      </w:pPr>
      <w:r>
        <w:t xml:space="preserve">Email: a.fernandez@email.es</w:t>
      </w:r>
    </w:p>
    <w:bookmarkEnd w:id="22"/>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w:t>
      </w:r>
      <w:r>
        <w:t xml:space="preserve"> </w:t>
      </w:r>
      <w:r>
        <w:t xml:space="preserve">Mason</w:t>
      </w:r>
      <w:r>
        <w:t xml:space="preserve">, a licensed masonry and stonework contractor registered in the Community of Madrid, to provide a comprehensive and itemised cost breakdown for the masonry renovation and restoration works requested by the client at the above-referenced residential property in</w:t>
      </w:r>
      <w:r>
        <w:t xml:space="preserve"> </w:t>
      </w:r>
      <w:r>
        <w:t xml:space="preserve">Spain Madrid</w:t>
      </w:r>
      <w:r>
        <w:t xml:space="preserve">. This document serves as a formal, non-binding estimate of the projected costs, materials, labour, and timeline associated with the scope of work described herein. All pricing is expressed in Euros (€) and includes applicable Value Added Tax (IVA) at the current rate of 21% as governed by Spanish fiscal regulations.</w:t>
      </w:r>
    </w:p>
    <w:bookmarkEnd w:id="23"/>
    <w:bookmarkStart w:id="24" w:name="X67bec76e4c22ca75d1f6d33e71d6902ad6908b1"/>
    <w:p>
      <w:pPr>
        <w:pStyle w:val="Heading2"/>
      </w:pPr>
      <w:r>
        <w:t xml:space="preserve">2. Scope of Work — Mason Services in Spain Madrid</w:t>
      </w:r>
    </w:p>
    <w:p>
      <w:pPr>
        <w:pStyle w:val="FirstParagraph"/>
      </w:pPr>
      <w:r>
        <w:t xml:space="preserve">Mason</w:t>
      </w:r>
      <w:r>
        <w:t xml:space="preserve"> </w:t>
      </w:r>
      <w:r>
        <w:t xml:space="preserve">has been engaged to perform the following masonry and stonework services at the client's property located in the Salamanca district of</w:t>
      </w:r>
      <w:r>
        <w:t xml:space="preserve"> </w:t>
      </w:r>
      <w:r>
        <w:t xml:space="preserve">Spain Madrid</w:t>
      </w:r>
      <w:r>
        <w:t xml:space="preserve">. The works include structural masonry repair, decorative stonework restoration, and new masonry installation. Our team of certified masons, stonemasons, and plasterers will execute all tasks in full compliance with the Spanish Building Code (Código Técnico de la Edificación) and the municipal regulations of the Ayuntamiento de Madrid.</w:t>
      </w:r>
    </w:p>
    <w:bookmarkEnd w:id="24"/>
    <w:bookmarkStart w:id="25" w:name="itemised-cost-breakdown"/>
    <w:p>
      <w:pPr>
        <w:pStyle w:val="Heading2"/>
      </w:pPr>
      <w:r>
        <w:t xml:space="preserve">3.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Mason Work</w:t>
            </w:r>
          </w:p>
        </w:tc>
        <w:tc>
          <w:tcPr/>
          <w:p>
            <w:pPr>
              <w:pStyle w:val="Compact"/>
              <w:jc w:val="left"/>
            </w:pPr>
            <w:r>
              <w:t xml:space="preserve">Quantity</w:t>
            </w:r>
          </w:p>
        </w:tc>
        <w:tc>
          <w:tcPr/>
          <w:p>
            <w:pPr>
              <w:pStyle w:val="Compact"/>
              <w:jc w:val="left"/>
            </w:pPr>
            <w:r>
              <w:t xml:space="preserve">Unit Price (€)</w:t>
            </w:r>
          </w:p>
        </w:tc>
        <w:tc>
          <w:tcPr/>
          <w:p>
            <w:pPr>
              <w:pStyle w:val="Compact"/>
              <w:jc w:val="left"/>
            </w:pPr>
            <w:r>
              <w:t xml:space="preserve">Total (€)</w:t>
            </w:r>
          </w:p>
        </w:tc>
        <w:tc>
          <w:tcPr/>
          <w:p>
            <w:pPr>
              <w:pStyle w:val="Compact"/>
              <w:jc w:val="left"/>
            </w:pPr>
            <w:r>
              <w:t xml:space="preserve">Duration</w:t>
            </w:r>
          </w:p>
        </w:tc>
      </w:tr>
      <w:tr>
        <w:tc>
          <w:tcPr/>
          <w:p>
            <w:pPr>
              <w:pStyle w:val="Compact"/>
              <w:jc w:val="left"/>
            </w:pPr>
            <w:r>
              <w:t xml:space="preserve">01</w:t>
            </w:r>
          </w:p>
        </w:tc>
        <w:tc>
          <w:tcPr/>
          <w:p>
            <w:pPr>
              <w:pStyle w:val="Compact"/>
              <w:jc w:val="left"/>
            </w:pPr>
            <w:r>
              <w:t xml:space="preserve">Demolition and removal of deteriorated brickwork on the south-facing façade (approx. 42 m²), including safe disposal of debris in accordance with Madrid municipal waste regulations.</w:t>
            </w:r>
          </w:p>
        </w:tc>
        <w:tc>
          <w:tcPr/>
          <w:p>
            <w:pPr>
              <w:pStyle w:val="Compact"/>
              <w:jc w:val="left"/>
            </w:pPr>
            <w:r>
              <w:t xml:space="preserve">42 m²</w:t>
            </w:r>
          </w:p>
        </w:tc>
        <w:tc>
          <w:tcPr/>
          <w:p>
            <w:pPr>
              <w:pStyle w:val="Compact"/>
              <w:jc w:val="left"/>
            </w:pPr>
            <w:r>
              <w:t xml:space="preserve">€38.50</w:t>
            </w:r>
          </w:p>
        </w:tc>
        <w:tc>
          <w:tcPr/>
          <w:p>
            <w:pPr>
              <w:pStyle w:val="Compact"/>
              <w:jc w:val="left"/>
            </w:pPr>
            <w:r>
              <w:t xml:space="preserve">€1,617.00</w:t>
            </w:r>
          </w:p>
        </w:tc>
        <w:tc>
          <w:tcPr/>
          <w:p>
            <w:pPr>
              <w:pStyle w:val="Compact"/>
              <w:jc w:val="left"/>
            </w:pPr>
            <w:r>
              <w:t xml:space="preserve">3 days</w:t>
            </w:r>
          </w:p>
        </w:tc>
      </w:tr>
      <w:tr>
        <w:tc>
          <w:tcPr/>
          <w:p>
            <w:pPr>
              <w:pStyle w:val="Compact"/>
              <w:jc w:val="left"/>
            </w:pPr>
            <w:r>
              <w:t xml:space="preserve">02</w:t>
            </w:r>
          </w:p>
        </w:tc>
        <w:tc>
          <w:tcPr/>
          <w:p>
            <w:pPr>
              <w:pStyle w:val="Compact"/>
              <w:jc w:val="left"/>
            </w:pPr>
            <w:r>
              <w:t xml:space="preserve">Supply and installation of new solid clay bricks (tipo ladrillo macizo) with traditional lime mortar for façade reconstruction, matching the original 1920s architectural style of the building in Spain Madrid.</w:t>
            </w:r>
          </w:p>
        </w:tc>
        <w:tc>
          <w:tcPr/>
          <w:p>
            <w:pPr>
              <w:pStyle w:val="Compact"/>
              <w:jc w:val="left"/>
            </w:pPr>
            <w:r>
              <w:t xml:space="preserve">42 m²</w:t>
            </w:r>
          </w:p>
        </w:tc>
        <w:tc>
          <w:tcPr/>
          <w:p>
            <w:pPr>
              <w:pStyle w:val="Compact"/>
              <w:jc w:val="left"/>
            </w:pPr>
            <w:r>
              <w:t xml:space="preserve">€95.00</w:t>
            </w:r>
          </w:p>
        </w:tc>
        <w:tc>
          <w:tcPr/>
          <w:p>
            <w:pPr>
              <w:pStyle w:val="Compact"/>
              <w:jc w:val="left"/>
            </w:pPr>
            <w:r>
              <w:t xml:space="preserve">€3,990.00</w:t>
            </w:r>
          </w:p>
        </w:tc>
        <w:tc>
          <w:tcPr/>
          <w:p>
            <w:pPr>
              <w:pStyle w:val="Compact"/>
              <w:jc w:val="left"/>
            </w:pPr>
            <w:r>
              <w:t xml:space="preserve">10 days</w:t>
            </w:r>
          </w:p>
        </w:tc>
      </w:tr>
      <w:tr>
        <w:tc>
          <w:tcPr/>
          <w:p>
            <w:pPr>
              <w:pStyle w:val="Compact"/>
              <w:jc w:val="left"/>
            </w:pPr>
            <w:r>
              <w:t xml:space="preserve">03</w:t>
            </w:r>
          </w:p>
        </w:tc>
        <w:tc>
          <w:tcPr/>
          <w:p>
            <w:pPr>
              <w:pStyle w:val="Compact"/>
              <w:jc w:val="left"/>
            </w:pPr>
            <w:r>
              <w:t xml:space="preserve">Restoration and re-carving of 14 decorative limestone (mármol de Macael) window sills and cornices, including chiselling, re-profiling, and re-seating with structural adhesive and lime putty.</w:t>
            </w:r>
          </w:p>
        </w:tc>
        <w:tc>
          <w:tcPr/>
          <w:p>
            <w:pPr>
              <w:pStyle w:val="Compact"/>
              <w:jc w:val="left"/>
            </w:pPr>
            <w:r>
              <w:t xml:space="preserve">14 units</w:t>
            </w:r>
          </w:p>
        </w:tc>
        <w:tc>
          <w:tcPr/>
          <w:p>
            <w:pPr>
              <w:pStyle w:val="Compact"/>
              <w:jc w:val="left"/>
            </w:pPr>
            <w:r>
              <w:t xml:space="preserve">€285.00</w:t>
            </w:r>
          </w:p>
        </w:tc>
        <w:tc>
          <w:tcPr/>
          <w:p>
            <w:pPr>
              <w:pStyle w:val="Compact"/>
              <w:jc w:val="left"/>
            </w:pPr>
            <w:r>
              <w:t xml:space="preserve">€3,990.00</w:t>
            </w:r>
          </w:p>
        </w:tc>
        <w:tc>
          <w:tcPr/>
          <w:p>
            <w:pPr>
              <w:pStyle w:val="Compact"/>
              <w:jc w:val="left"/>
            </w:pPr>
            <w:r>
              <w:t xml:space="preserve">7 days</w:t>
            </w:r>
          </w:p>
        </w:tc>
      </w:tr>
      <w:tr>
        <w:tc>
          <w:tcPr/>
          <w:p>
            <w:pPr>
              <w:pStyle w:val="Compact"/>
              <w:jc w:val="left"/>
            </w:pPr>
            <w:r>
              <w:t xml:space="preserve">04</w:t>
            </w:r>
          </w:p>
        </w:tc>
        <w:tc>
          <w:tcPr/>
          <w:p>
            <w:pPr>
              <w:pStyle w:val="Compact"/>
              <w:jc w:val="left"/>
            </w:pPr>
            <w:r>
              <w:t xml:space="preserve">Construction of a new masonry garden wall (18 m length × 1.2 m height) using local granite blocks with a dressed stone cap, including foundation trench excavation and concrete footing.</w:t>
            </w:r>
          </w:p>
        </w:tc>
        <w:tc>
          <w:tcPr/>
          <w:p>
            <w:pPr>
              <w:pStyle w:val="Compact"/>
              <w:jc w:val="left"/>
            </w:pPr>
            <w:r>
              <w:t xml:space="preserve">18 lm</w:t>
            </w:r>
          </w:p>
        </w:tc>
        <w:tc>
          <w:tcPr/>
          <w:p>
            <w:pPr>
              <w:pStyle w:val="Compact"/>
              <w:jc w:val="left"/>
            </w:pPr>
            <w:r>
              <w:t xml:space="preserve">€145.00</w:t>
            </w:r>
          </w:p>
        </w:tc>
        <w:tc>
          <w:tcPr/>
          <w:p>
            <w:pPr>
              <w:pStyle w:val="Compact"/>
              <w:jc w:val="left"/>
            </w:pPr>
            <w:r>
              <w:t xml:space="preserve">€2,610.00</w:t>
            </w:r>
          </w:p>
        </w:tc>
        <w:tc>
          <w:tcPr/>
          <w:p>
            <w:pPr>
              <w:pStyle w:val="Compact"/>
              <w:jc w:val="left"/>
            </w:pPr>
            <w:r>
              <w:t xml:space="preserve">8 days</w:t>
            </w:r>
          </w:p>
        </w:tc>
      </w:tr>
      <w:tr>
        <w:tc>
          <w:tcPr/>
          <w:p>
            <w:pPr>
              <w:pStyle w:val="Compact"/>
              <w:jc w:val="left"/>
            </w:pPr>
            <w:r>
              <w:t xml:space="preserve">05</w:t>
            </w:r>
          </w:p>
        </w:tc>
        <w:tc>
          <w:tcPr/>
          <w:p>
            <w:pPr>
              <w:pStyle w:val="Compact"/>
              <w:jc w:val="left"/>
            </w:pPr>
            <w:r>
              <w:t xml:space="preserve">Application of breathable mineral render (revoque mineral) to all newly laid masonry surfaces, including two coats of base coat and one finish coat in a colour matched to the existing façade.</w:t>
            </w:r>
          </w:p>
        </w:tc>
        <w:tc>
          <w:tcPr/>
          <w:p>
            <w:pPr>
              <w:pStyle w:val="Compact"/>
              <w:jc w:val="left"/>
            </w:pPr>
            <w:r>
              <w:t xml:space="preserve">42 m²</w:t>
            </w:r>
          </w:p>
        </w:tc>
        <w:tc>
          <w:tcPr/>
          <w:p>
            <w:pPr>
              <w:pStyle w:val="Compact"/>
              <w:jc w:val="left"/>
            </w:pPr>
            <w:r>
              <w:t xml:space="preserve">€42.00</w:t>
            </w:r>
          </w:p>
        </w:tc>
        <w:tc>
          <w:tcPr/>
          <w:p>
            <w:pPr>
              <w:pStyle w:val="Compact"/>
              <w:jc w:val="left"/>
            </w:pPr>
            <w:r>
              <w:t xml:space="preserve">€1,764.00</w:t>
            </w:r>
          </w:p>
        </w:tc>
        <w:tc>
          <w:tcPr/>
          <w:p>
            <w:pPr>
              <w:pStyle w:val="Compact"/>
              <w:jc w:val="left"/>
            </w:pPr>
            <w:r>
              <w:t xml:space="preserve">5 days</w:t>
            </w:r>
          </w:p>
        </w:tc>
      </w:tr>
      <w:tr>
        <w:tc>
          <w:tcPr/>
          <w:p>
            <w:pPr>
              <w:pStyle w:val="Compact"/>
              <w:jc w:val="left"/>
            </w:pPr>
            <w:r>
              <w:t xml:space="preserve">06</w:t>
            </w:r>
          </w:p>
        </w:tc>
        <w:tc>
          <w:tcPr/>
          <w:p>
            <w:pPr>
              <w:pStyle w:val="Compact"/>
              <w:jc w:val="left"/>
            </w:pPr>
            <w:r>
              <w:t xml:space="preserve">Installation of a new masonry chimney breast and flue lining in the ground-floor kitchen, using fire-rated refractory bricks and stainless-steel flue liner, compliant with Spanish fire safety standards.</w:t>
            </w:r>
          </w:p>
        </w:tc>
        <w:tc>
          <w:tcPr/>
          <w:p>
            <w:pPr>
              <w:pStyle w:val="Compact"/>
              <w:jc w:val="left"/>
            </w:pPr>
            <w:r>
              <w:t xml:space="preserve">1 unit</w:t>
            </w:r>
          </w:p>
        </w:tc>
        <w:tc>
          <w:tcPr/>
          <w:p>
            <w:pPr>
              <w:pStyle w:val="Compact"/>
              <w:jc w:val="left"/>
            </w:pPr>
            <w:r>
              <w:t xml:space="preserve">€2,450.00</w:t>
            </w:r>
          </w:p>
        </w:tc>
        <w:tc>
          <w:tcPr/>
          <w:p>
            <w:pPr>
              <w:pStyle w:val="Compact"/>
              <w:jc w:val="left"/>
            </w:pPr>
            <w:r>
              <w:t xml:space="preserve">€2,450.00</w:t>
            </w:r>
          </w:p>
        </w:tc>
        <w:tc>
          <w:tcPr/>
          <w:p>
            <w:pPr>
              <w:pStyle w:val="Compact"/>
              <w:jc w:val="left"/>
            </w:pPr>
            <w:r>
              <w:t xml:space="preserve">6 days</w:t>
            </w:r>
          </w:p>
        </w:tc>
      </w:tr>
      <w:tr>
        <w:tc>
          <w:tcPr/>
          <w:p>
            <w:pPr>
              <w:pStyle w:val="Compact"/>
              <w:jc w:val="left"/>
            </w:pPr>
            <w:r>
              <w:t xml:space="preserve">07</w:t>
            </w:r>
          </w:p>
        </w:tc>
        <w:tc>
          <w:tcPr/>
          <w:p>
            <w:pPr>
              <w:pStyle w:val="Compact"/>
              <w:jc w:val="left"/>
            </w:pPr>
            <w:r>
              <w:t xml:space="preserve">Site supervision, project management, and final quality inspection by a senior Mason project engineer, including preparation of the final as-built report and handover documentation.</w:t>
            </w:r>
          </w:p>
        </w:tc>
        <w:tc>
          <w:tcPr/>
          <w:p>
            <w:pPr>
              <w:pStyle w:val="Compact"/>
              <w:jc w:val="left"/>
            </w:pPr>
            <w:r>
              <w:t xml:space="preserve">1 lot</w:t>
            </w:r>
          </w:p>
        </w:tc>
        <w:tc>
          <w:tcPr/>
          <w:p>
            <w:pPr>
              <w:pStyle w:val="Compact"/>
              <w:jc w:val="left"/>
            </w:pPr>
            <w:r>
              <w:t xml:space="preserve">€1,200.00</w:t>
            </w:r>
          </w:p>
        </w:tc>
        <w:tc>
          <w:tcPr/>
          <w:p>
            <w:pPr>
              <w:pStyle w:val="Compact"/>
              <w:jc w:val="left"/>
            </w:pPr>
            <w:r>
              <w:t xml:space="preserve">€1,200.00</w:t>
            </w:r>
          </w:p>
        </w:tc>
        <w:tc>
          <w:tcPr/>
          <w:p>
            <w:pPr>
              <w:pStyle w:val="Compact"/>
              <w:jc w:val="left"/>
            </w:pPr>
            <w:r>
              <w:t xml:space="preserve">Full duration</w:t>
            </w:r>
          </w:p>
        </w:tc>
      </w:tr>
      <w:tr>
        <w:tc>
          <w:tcPr/>
          <w:p>
            <w:pPr>
              <w:pStyle w:val="Compact"/>
              <w:jc w:val="left"/>
            </w:pPr>
            <w:r>
              <w:t xml:space="preserve">08</w:t>
            </w:r>
          </w:p>
        </w:tc>
        <w:tc>
          <w:tcPr/>
          <w:p>
            <w:pPr>
              <w:pStyle w:val="Compact"/>
              <w:jc w:val="left"/>
            </w:pPr>
            <w:r>
              <w:t xml:space="preserve">Temporary scaffolding, safety netting, and site protection (floor coverings, dust barriers) for the full duration of works, as required by Madrid occupational health and safety regulations (INSST).</w:t>
            </w:r>
          </w:p>
        </w:tc>
        <w:tc>
          <w:tcPr/>
          <w:p>
            <w:pPr>
              <w:pStyle w:val="Compact"/>
              <w:jc w:val="left"/>
            </w:pPr>
            <w:r>
              <w:t xml:space="preserve">1 lot</w:t>
            </w:r>
          </w:p>
        </w:tc>
        <w:tc>
          <w:tcPr/>
          <w:p>
            <w:pPr>
              <w:pStyle w:val="Compact"/>
              <w:jc w:val="left"/>
            </w:pPr>
            <w:r>
              <w:t xml:space="preserve">€1,850.00</w:t>
            </w:r>
          </w:p>
        </w:tc>
        <w:tc>
          <w:tcPr/>
          <w:p>
            <w:pPr>
              <w:pStyle w:val="Compact"/>
              <w:jc w:val="left"/>
            </w:pPr>
            <w:r>
              <w:t xml:space="preserve">€1,850.00</w:t>
            </w:r>
          </w:p>
        </w:tc>
        <w:tc>
          <w:tcPr/>
          <w:p>
            <w:pPr>
              <w:pStyle w:val="Compact"/>
              <w:jc w:val="left"/>
            </w:pPr>
            <w:r>
              <w:t xml:space="preserve">Full duration</w:t>
            </w:r>
          </w:p>
        </w:tc>
      </w:tr>
      <w:tr>
        <w:tc>
          <w:tcPr>
            <w:gridSpan w:val="4"/>
          </w:tcPr>
          <w:p>
            <w:pPr>
              <w:pStyle w:val="Compact"/>
              <w:jc w:val="left"/>
            </w:pPr>
            <w:r>
              <w:t xml:space="preserve">Subtotal (before IVA)</w:t>
            </w:r>
          </w:p>
        </w:tc>
        <w:tc>
          <w:tcPr/>
          <w:p>
            <w:pPr>
              <w:pStyle w:val="Compact"/>
              <w:jc w:val="left"/>
            </w:pPr>
            <w:r>
              <w:t xml:space="preserve">€19,471.00</w:t>
            </w:r>
          </w:p>
        </w:tc>
        <w:tc>
          <w:tcPr/>
          <w:p>
            <w:pPr>
              <w:pStyle w:val="Compact"/>
            </w:pPr>
          </w:p>
        </w:tc>
      </w:tr>
      <w:tr>
        <w:tc>
          <w:tcPr>
            <w:gridSpan w:val="4"/>
          </w:tcPr>
          <w:p>
            <w:pPr>
              <w:pStyle w:val="Compact"/>
              <w:jc w:val="left"/>
            </w:pPr>
            <w:r>
              <w:t xml:space="preserve">IVA (21%)</w:t>
            </w:r>
          </w:p>
        </w:tc>
        <w:tc>
          <w:tcPr/>
          <w:p>
            <w:pPr>
              <w:pStyle w:val="Compact"/>
              <w:jc w:val="left"/>
            </w:pPr>
            <w:r>
              <w:t xml:space="preserve">€4,088.91</w:t>
            </w:r>
          </w:p>
        </w:tc>
        <w:tc>
          <w:tcPr/>
          <w:p>
            <w:pPr>
              <w:pStyle w:val="Compact"/>
            </w:pPr>
          </w:p>
        </w:tc>
      </w:tr>
      <w:tr>
        <w:tc>
          <w:tcPr>
            <w:gridSpan w:val="4"/>
          </w:tcPr>
          <w:p>
            <w:pPr>
              <w:pStyle w:val="Compact"/>
              <w:jc w:val="left"/>
            </w:pPr>
            <w:r>
              <w:t xml:space="preserve">TOTAL ESTIMATED COST</w:t>
            </w:r>
          </w:p>
        </w:tc>
        <w:tc>
          <w:tcPr/>
          <w:p>
            <w:pPr>
              <w:pStyle w:val="Compact"/>
              <w:jc w:val="left"/>
            </w:pPr>
            <w:r>
              <w:t xml:space="preserve">€23,559.91</w:t>
            </w:r>
          </w:p>
        </w:tc>
        <w:tc>
          <w:tcPr/>
          <w:p>
            <w:pPr>
              <w:pStyle w:val="Compact"/>
            </w:pPr>
          </w:p>
        </w:tc>
      </w:tr>
    </w:tbl>
    <w:bookmarkEnd w:id="25"/>
    <w:bookmarkStart w:id="26" w:name="project-timeline"/>
    <w:p>
      <w:pPr>
        <w:pStyle w:val="Heading2"/>
      </w:pPr>
      <w:r>
        <w:t xml:space="preserve">4. Project Timeline</w:t>
      </w:r>
    </w:p>
    <w:p>
      <w:pPr>
        <w:pStyle w:val="FirstParagraph"/>
      </w:pPr>
      <w:r>
        <w:t xml:space="preserve">The total estimated duration for all</w:t>
      </w:r>
      <w:r>
        <w:t xml:space="preserve"> </w:t>
      </w:r>
      <w:r>
        <w:t xml:space="preserve">Mason</w:t>
      </w:r>
      <w:r>
        <w:t xml:space="preserve"> </w:t>
      </w:r>
      <w:r>
        <w:t xml:space="preserve">works described in this</w:t>
      </w:r>
      <w:r>
        <w:t xml:space="preserve"> </w:t>
      </w:r>
      <w:r>
        <w:t xml:space="preserve">Quotation Estimate</w:t>
      </w:r>
      <w:r>
        <w:t xml:space="preserve"> </w:t>
      </w:r>
      <w:r>
        <w:t xml:space="preserve">is approximately</w:t>
      </w:r>
      <w:r>
        <w:t xml:space="preserve"> </w:t>
      </w:r>
      <w:r>
        <w:rPr>
          <w:bCs/>
          <w:b/>
        </w:rPr>
        <w:t xml:space="preserve">38 working days</w:t>
      </w:r>
      <w:r>
        <w:t xml:space="preserve"> </w:t>
      </w:r>
      <w:r>
        <w:t xml:space="preserve">from the date of commencement, subject to weather conditions and the availability of specialist materials. The works are scheduled to begin on 1 September 2025 and are projected to be completed by 15 October 2025. A detailed Gantt chart and weekly progress schedule will be provided to the client upon contract execution.</w:t>
      </w:r>
    </w:p>
    <w:bookmarkEnd w:id="26"/>
    <w:bookmarkStart w:id="27" w:name="terms-and-conditions"/>
    <w:p>
      <w:pPr>
        <w:pStyle w:val="Heading2"/>
      </w:pPr>
      <w:r>
        <w:t xml:space="preserve">5.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this period,</w:t>
      </w:r>
      <w:r>
        <w:t xml:space="preserve"> </w:t>
      </w:r>
      <w:r>
        <w:t xml:space="preserve">Mason</w:t>
      </w:r>
      <w:r>
        <w:t xml:space="preserve"> </w:t>
      </w:r>
      <w:r>
        <w:t xml:space="preserve">reserves the right to revise pricing due to fluctuations in material costs, labour rates, or changes in applicable Spanish tax legislation.</w:t>
      </w:r>
    </w:p>
    <w:p>
      <w:pPr>
        <w:numPr>
          <w:ilvl w:val="0"/>
          <w:numId w:val="1001"/>
        </w:numPr>
        <w:pStyle w:val="Compact"/>
      </w:pPr>
      <w:r>
        <w:t xml:space="preserve">All prices quoted are in Euros (€) and include 21% IVA. No additional municipal taxes or fees are included unless expressly stated. The client is responsible for any third-party permits or licences required by the Ayuntamiento de Madrid.</w:t>
      </w:r>
    </w:p>
    <w:p>
      <w:pPr>
        <w:numPr>
          <w:ilvl w:val="0"/>
          <w:numId w:val="1001"/>
        </w:numPr>
        <w:pStyle w:val="Compact"/>
      </w:pPr>
      <w:r>
        <w:t xml:space="preserve">Payment terms: 30% advance payment upon signing of the formal contract; 40% upon completion of the structural masonry works (Items 01–04); 30% upon final completion, inspection, and handover. All payments shall be made by bank transfer to the account of</w:t>
      </w:r>
      <w:r>
        <w:t xml:space="preserve"> </w:t>
      </w:r>
      <w:r>
        <w:t xml:space="preserve">Mason</w:t>
      </w:r>
      <w:r>
        <w:t xml:space="preserve"> </w:t>
      </w:r>
      <w:r>
        <w:t xml:space="preserve">SL, IBAN: ES91 2100 0418 4502 0005 1332.</w:t>
      </w:r>
    </w:p>
    <w:p>
      <w:pPr>
        <w:numPr>
          <w:ilvl w:val="0"/>
          <w:numId w:val="1001"/>
        </w:numPr>
        <w:pStyle w:val="Compact"/>
      </w:pPr>
      <w:r>
        <w:t xml:space="preserve">Mason</w:t>
      </w:r>
      <w:r>
        <w:t xml:space="preserve"> </w:t>
      </w:r>
      <w:r>
        <w:t xml:space="preserve">provides a five-year structural warranty on all masonry and stonework as stipulated under Spanish Royal Decree 8/2005 (Garantía de Obra). A separate two-year warranty applies to finishing works such as rendering and painting.</w:t>
      </w:r>
    </w:p>
    <w:p>
      <w:pPr>
        <w:numPr>
          <w:ilvl w:val="0"/>
          <w:numId w:val="1001"/>
        </w:numPr>
        <w:pStyle w:val="Compact"/>
      </w:pPr>
      <w:r>
        <w:t xml:space="preserve">The client agrees to provide safe and unobstructed access to the worksite during the project duration. Any delays caused by the client or by third parties (e.g., community of owners, neighbours) will extend the completion date proportionally without additional cost to</w:t>
      </w:r>
      <w:r>
        <w:t xml:space="preserve"> </w:t>
      </w:r>
      <w:r>
        <w:t xml:space="preserve">Mason</w:t>
      </w:r>
      <w:r>
        <w:t xml:space="preserve">.</w:t>
      </w:r>
    </w:p>
    <w:p>
      <w:pPr>
        <w:numPr>
          <w:ilvl w:val="0"/>
          <w:numId w:val="1001"/>
        </w:numPr>
        <w:pStyle w:val="Compact"/>
      </w:pPr>
      <w:r>
        <w:t xml:space="preserve">All works will be carried out in strict compliance with the regulations of the Comunidad de Madrid, the Código Técnico de la Edificación (CTE), and the applicable building by-laws of the city of</w:t>
      </w:r>
      <w:r>
        <w:t xml:space="preserve"> </w:t>
      </w:r>
      <w:r>
        <w:t xml:space="preserve">Spain Madrid</w:t>
      </w:r>
      <w:r>
        <w:t xml:space="preserve">.</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A formal contract, including detailed technical specifications, insurance certificates, and health-and-safety plans, will be prepared and signed by both parties prior to the commencement of any works.</w:t>
      </w:r>
    </w:p>
    <w:p>
      <w:pPr>
        <w:numPr>
          <w:ilvl w:val="0"/>
          <w:numId w:val="1001"/>
        </w:numPr>
        <w:pStyle w:val="Compact"/>
      </w:pPr>
      <w:r>
        <w:t xml:space="preserve">Any variation or additional work not included in this estimate must be agreed in writing by both parties before execution.</w:t>
      </w:r>
      <w:r>
        <w:t xml:space="preserve"> </w:t>
      </w:r>
      <w:r>
        <w:t xml:space="preserve">Mason</w:t>
      </w:r>
      <w:r>
        <w:t xml:space="preserve"> </w:t>
      </w:r>
      <w:r>
        <w:t xml:space="preserve">will issue a supplementary quotation for any such variations.</w:t>
      </w:r>
    </w:p>
    <w:bookmarkEnd w:id="27"/>
    <w:bookmarkStart w:id="28" w:name="acceptance-and-signatures"/>
    <w:p>
      <w:pPr>
        <w:pStyle w:val="Heading2"/>
      </w:pPr>
      <w:r>
        <w:t xml:space="preserve">6. Acceptance and Signatures</w:t>
      </w:r>
    </w:p>
    <w:p>
      <w:pPr>
        <w:pStyle w:val="FirstParagraph"/>
      </w:pPr>
      <w:r>
        <w:t xml:space="preserve">By signing below, both parties acknowledge that they have read, understood, and agree to the terms set out in this</w:t>
      </w:r>
      <w:r>
        <w:t xml:space="preserve"> </w:t>
      </w:r>
      <w:r>
        <w:t xml:space="preserve">Quotation Estimate</w:t>
      </w:r>
      <w:r>
        <w:t xml:space="preserve">. This signature does not constitute a binding contract but serves as an expression of intent to proceed to the formal contracting stage.</w:t>
      </w:r>
    </w:p>
    <w:p>
      <w:pPr>
        <w:pStyle w:val="BodyText"/>
      </w:pPr>
      <w:r>
        <w:rPr>
          <w:bCs/>
          <w:b/>
        </w:rPr>
        <w:t xml:space="preserve">For and on behalf of Mason SL</w:t>
      </w:r>
    </w:p>
    <w:p>
      <w:pPr>
        <w:pStyle w:val="BodyText"/>
      </w:pPr>
      <w:r>
        <w:t xml:space="preserve">Name: Ing. Carlos Mendoza Vidal</w:t>
      </w:r>
    </w:p>
    <w:p>
      <w:pPr>
        <w:pStyle w:val="BodyText"/>
      </w:pPr>
      <w:r>
        <w:t xml:space="preserve">Title: Director of Masonry Operations</w:t>
      </w:r>
    </w:p>
    <w:p>
      <w:pPr>
        <w:pStyle w:val="BodyText"/>
      </w:pPr>
      <w:r>
        <w:t xml:space="preserve">Date: ____________________</w:t>
      </w:r>
    </w:p>
    <w:p>
      <w:pPr>
        <w:pStyle w:val="BodyText"/>
      </w:pPr>
      <w:r>
        <w:rPr>
          <w:bCs/>
          <w:b/>
        </w:rPr>
        <w:t xml:space="preserve">For and on behalf of the Client</w:t>
      </w:r>
    </w:p>
    <w:p>
      <w:pPr>
        <w:pStyle w:val="BodyText"/>
      </w:pPr>
      <w:r>
        <w:t xml:space="preserve">Name: Don Alejandro Fernández Ruiz</w:t>
      </w:r>
    </w:p>
    <w:p>
      <w:pPr>
        <w:pStyle w:val="BodyText"/>
      </w:pPr>
      <w:r>
        <w:t xml:space="preserve">Title: Property Owner</w:t>
      </w:r>
    </w:p>
    <w:p>
      <w:pPr>
        <w:pStyle w:val="BodyText"/>
      </w:pPr>
      <w:r>
        <w:t xml:space="preserve">Date: ____________________</w:t>
      </w:r>
    </w:p>
    <w:p>
      <w:pPr>
        <w:pStyle w:val="BodyText"/>
      </w:pPr>
      <w:r>
        <w:rPr>
          <w:bCs/>
          <w:b/>
        </w:rPr>
        <w:t xml:space="preserve">Mason</w:t>
      </w:r>
      <w:r>
        <w:t xml:space="preserve"> </w:t>
      </w:r>
      <w:r>
        <w:t xml:space="preserve">— Masonry &amp; Stonework Specialists | Calle de Alcalá 214, 28028 Madrid, Spain | CIF: B-87654321</w:t>
      </w:r>
    </w:p>
    <w:p>
      <w:pPr>
        <w:pStyle w:val="BodyText"/>
      </w:pPr>
      <w:r>
        <w:t xml:space="preserve">This Quotation Estimate (Ref: QTE-2025-MAD-0472) was prepared exclusively for the client named above and may not be reproduced or distributed without the prior written consent of Mason SL. All rights reserved. © 2025 Mason SL, Spain Madrid.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Mason - Spain Madrid</dc:title>
  <dc:creator/>
  <dc:language>en</dc:language>
  <cp:keywords/>
  <dcterms:created xsi:type="dcterms:W3CDTF">2026-10-10T03:28:49Z</dcterms:created>
  <dcterms:modified xsi:type="dcterms:W3CDTF">2026-10-10T03:28:49Z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