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Masonry &amp; Construction Services</w:t>
      </w:r>
    </w:p>
    <w:p>
      <w:pPr>
        <w:pStyle w:val="BodyText"/>
      </w:pPr>
      <w:r>
        <w:t xml:space="preserve">P.O. Box 4521, Omdurman Industrial Area, Khartoum, Sudan</w:t>
      </w:r>
    </w:p>
    <w:p>
      <w:pPr>
        <w:pStyle w:val="BodyText"/>
      </w:pPr>
      <w:r>
        <w:t xml:space="preserve">Tel: +249-183-456-789 | Email: info@nilemasonry.sd</w:t>
      </w:r>
    </w:p>
    <w:p>
      <w:pPr>
        <w:pStyle w:val="BodyText"/>
      </w:pPr>
      <w:r>
        <w:t xml:space="preserve">Commercial Registration No. 2019/SD/08472</w:t>
      </w:r>
    </w:p>
    <w:bookmarkEnd w:id="20"/>
    <w:p>
      <w:pPr>
        <w:pStyle w:val="BodyText"/>
      </w:pPr>
      <w:r>
        <w:rPr>
          <w:bCs/>
          <w:b/>
        </w:rPr>
        <w:t xml:space="preserve">Quotation No.:</w:t>
      </w:r>
      <w:r>
        <w:t xml:space="preserve"> </w:t>
      </w:r>
      <w:r>
        <w:t xml:space="preserve">QTE-2025-KRT-0347</w:t>
      </w:r>
    </w:p>
    <w:p>
      <w:pPr>
        <w:pStyle w:val="BodyText"/>
      </w:pPr>
      <w:r>
        <w:rPr>
          <w:bCs/>
          <w:b/>
        </w:rPr>
        <w:t xml:space="preserve">Date Issued:</w:t>
      </w:r>
      <w:r>
        <w:t xml:space="preserve"> </w:t>
      </w:r>
      <w:r>
        <w:t xml:space="preserve">14 June 2025</w:t>
      </w:r>
    </w:p>
    <w:p>
      <w:pPr>
        <w:pStyle w:val="BodyText"/>
      </w:pPr>
      <w:r>
        <w:rPr>
          <w:bCs/>
          <w:b/>
        </w:rPr>
        <w:t xml:space="preserve">Validity Period:</w:t>
      </w:r>
      <w:r>
        <w:t xml:space="preserve"> </w:t>
      </w:r>
      <w:r>
        <w:t xml:space="preserve">30 days from issue date</w:t>
      </w:r>
    </w:p>
    <w:p>
      <w:pPr>
        <w:pStyle w:val="BodyText"/>
      </w:pPr>
      <w:r>
        <w:rPr>
          <w:bCs/>
          <w:b/>
        </w:rPr>
        <w:t xml:space="preserve">Prepared For:</w:t>
      </w:r>
      <w:r>
        <w:t xml:space="preserve"> </w:t>
      </w:r>
      <w:r>
        <w:t xml:space="preserve">Al-Rashid Real Estate Development Co.</w:t>
      </w:r>
    </w:p>
    <w:p>
      <w:pPr>
        <w:pStyle w:val="BodyText"/>
      </w:pPr>
      <w:r>
        <w:rPr>
          <w:bCs/>
          <w:b/>
        </w:rPr>
        <w:t xml:space="preserve">Project Site:</w:t>
      </w:r>
      <w:r>
        <w:t xml:space="preserve"> </w:t>
      </w:r>
      <w:r>
        <w:t xml:space="preserve">Bahri District, Khartoum North, Sudan</w:t>
      </w:r>
    </w:p>
    <w:p>
      <w:pPr>
        <w:pStyle w:val="BodyText"/>
      </w:pPr>
      <w:r>
        <w:rPr>
          <w:bCs/>
          <w:b/>
        </w:rPr>
        <w:t xml:space="preserve">Project Reference:</w:t>
      </w:r>
      <w:r>
        <w:t xml:space="preserve"> </w:t>
      </w:r>
      <w:r>
        <w:t xml:space="preserve">RES-KRT-2025-112</w:t>
      </w:r>
    </w:p>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formally issued by Nile Masonry &amp; Construction Services to Al-Rashid Real Estate Development Co. for the provision of comprehensive</w:t>
      </w:r>
      <w:r>
        <w:t xml:space="preserve"> </w:t>
      </w:r>
      <w:r>
        <w:t xml:space="preserve">Mason</w:t>
      </w:r>
      <w:r>
        <w:t xml:space="preserve"> </w:t>
      </w:r>
      <w:r>
        <w:t xml:space="preserve">services and masonry construction works to be executed at the designated project site in</w:t>
      </w:r>
      <w:r>
        <w:t xml:space="preserve"> </w:t>
      </w:r>
      <w:r>
        <w:t xml:space="preserve">Sudan Khartoum</w:t>
      </w:r>
      <w:r>
        <w:t xml:space="preserve">, specifically within the Bahri District of Khartoum North. This document outlines the full scope of masonry works, material specifications, labour requirements, and associated costs for the construction of a four-storey residential building comprising twelve (12) apartment units.</w:t>
      </w:r>
    </w:p>
    <w:p>
      <w:pPr>
        <w:pStyle w:val="BodyText"/>
      </w:pPr>
      <w:r>
        <w:t xml:space="preserve">The</w:t>
      </w:r>
      <w:r>
        <w:t xml:space="preserve"> </w:t>
      </w:r>
      <w:r>
        <w:t xml:space="preserve">Mason</w:t>
      </w:r>
      <w:r>
        <w:t xml:space="preserve"> </w:t>
      </w:r>
      <w:r>
        <w:t xml:space="preserve">works covered under this quotation include, but are not limited to: foundation wall construction using reinforced concrete block masonry, load-bearing and non-load-bearing wall construction, internal partition walls, lintel and beam installation, plastering (internal and external), brickwork for boundary walls, and all associated finishing works. All masonry activities shall be carried out in strict compliance with the Sudanese National Building Code (SNBC) and the local municipal regulations governing construction in Khartoum.</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Foundation wall masonry – reinforced concrete blocks (200mm), including mortar mixing, laying, and curing</w:t>
            </w:r>
          </w:p>
        </w:tc>
        <w:tc>
          <w:tcPr/>
          <w:p>
            <w:pPr>
              <w:pStyle w:val="Compact"/>
              <w:jc w:val="left"/>
            </w:pPr>
            <w:r>
              <w:t xml:space="preserve">m²</w:t>
            </w:r>
          </w:p>
        </w:tc>
        <w:tc>
          <w:tcPr/>
          <w:p>
            <w:pPr>
              <w:pStyle w:val="Compact"/>
              <w:jc w:val="left"/>
            </w:pPr>
            <w:r>
              <w:t xml:space="preserve">850</w:t>
            </w:r>
          </w:p>
        </w:tc>
        <w:tc>
          <w:tcPr/>
          <w:p>
            <w:pPr>
              <w:pStyle w:val="Compact"/>
              <w:jc w:val="left"/>
            </w:pPr>
            <w:r>
              <w:t xml:space="preserve">1,250</w:t>
            </w:r>
          </w:p>
        </w:tc>
        <w:tc>
          <w:tcPr/>
          <w:p>
            <w:pPr>
              <w:pStyle w:val="Compact"/>
              <w:jc w:val="left"/>
            </w:pPr>
            <w:r>
              <w:t xml:space="preserve">1,062,500</w:t>
            </w:r>
          </w:p>
        </w:tc>
      </w:tr>
      <w:tr>
        <w:tc>
          <w:tcPr/>
          <w:p>
            <w:pPr>
              <w:pStyle w:val="Compact"/>
              <w:jc w:val="left"/>
            </w:pPr>
            <w:r>
              <w:t xml:space="preserve">2</w:t>
            </w:r>
          </w:p>
        </w:tc>
        <w:tc>
          <w:tcPr/>
          <w:p>
            <w:pPr>
              <w:pStyle w:val="Compact"/>
              <w:jc w:val="left"/>
            </w:pPr>
            <w:r>
              <w:t xml:space="preserve">Load-bearing external walls – standard clay bricks (230mm), including scaffolding and mortar</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1,850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Internal partition walls – lightweight aerated concrete blocks (150mm)</w:t>
            </w:r>
          </w:p>
        </w:tc>
        <w:tc>
          <w:tcPr/>
          <w:p>
            <w:pPr>
              <w:pStyle w:val="Compact"/>
              <w:jc w:val="left"/>
            </w:pPr>
            <w:r>
              <w:t xml:space="preserve">m²</w:t>
            </w:r>
          </w:p>
        </w:tc>
        <w:tc>
          <w:tcPr/>
          <w:p>
            <w:pPr>
              <w:pStyle w:val="Compact"/>
              <w:jc w:val="left"/>
            </w:pPr>
            <w:r>
              <w:t xml:space="preserve">4,500</w:t>
            </w:r>
          </w:p>
        </w:tc>
        <w:tc>
          <w:tcPr/>
          <w:p>
            <w:pPr>
              <w:pStyle w:val="Compact"/>
              <w:jc w:val="left"/>
            </w:pPr>
            <w:r>
              <w:t xml:space="preserve">1,100</w:t>
            </w:r>
          </w:p>
        </w:tc>
        <w:tc>
          <w:tcPr/>
          <w:p>
            <w:pPr>
              <w:pStyle w:val="Compact"/>
              <w:jc w:val="left"/>
            </w:pPr>
            <w:r>
              <w:t xml:space="preserve">4,950,000</w:t>
            </w:r>
          </w:p>
        </w:tc>
      </w:tr>
      <w:tr>
        <w:tc>
          <w:tcPr/>
          <w:p>
            <w:pPr>
              <w:pStyle w:val="Compact"/>
              <w:jc w:val="left"/>
            </w:pPr>
            <w:r>
              <w:t xml:space="preserve">4</w:t>
            </w:r>
          </w:p>
        </w:tc>
        <w:tc>
          <w:tcPr/>
          <w:p>
            <w:pPr>
              <w:pStyle w:val="Compact"/>
              <w:jc w:val="left"/>
            </w:pPr>
            <w:r>
              <w:t xml:space="preserve">Lintels, ring beams, and structural masonry elements – reinforced concrete</w:t>
            </w:r>
          </w:p>
        </w:tc>
        <w:tc>
          <w:tcPr/>
          <w:p>
            <w:pPr>
              <w:pStyle w:val="Compact"/>
              <w:jc w:val="left"/>
            </w:pPr>
            <w:r>
              <w:t xml:space="preserve">lm</w:t>
            </w:r>
          </w:p>
        </w:tc>
        <w:tc>
          <w:tcPr/>
          <w:p>
            <w:pPr>
              <w:pStyle w:val="Compact"/>
              <w:jc w:val="left"/>
            </w:pPr>
            <w:r>
              <w:t xml:space="preserve">680</w:t>
            </w:r>
          </w:p>
        </w:tc>
        <w:tc>
          <w:tcPr/>
          <w:p>
            <w:pPr>
              <w:pStyle w:val="Compact"/>
              <w:jc w:val="left"/>
            </w:pPr>
            <w:r>
              <w:t xml:space="preserve">2,400</w:t>
            </w:r>
          </w:p>
        </w:tc>
        <w:tc>
          <w:tcPr/>
          <w:p>
            <w:pPr>
              <w:pStyle w:val="Compact"/>
              <w:jc w:val="left"/>
            </w:pPr>
            <w:r>
              <w:t xml:space="preserve">1,632,000</w:t>
            </w:r>
          </w:p>
        </w:tc>
      </w:tr>
      <w:tr>
        <w:tc>
          <w:tcPr/>
          <w:p>
            <w:pPr>
              <w:pStyle w:val="Compact"/>
              <w:jc w:val="left"/>
            </w:pPr>
            <w:r>
              <w:t xml:space="preserve">5</w:t>
            </w:r>
          </w:p>
        </w:tc>
        <w:tc>
          <w:tcPr/>
          <w:p>
            <w:pPr>
              <w:pStyle w:val="Compact"/>
              <w:jc w:val="left"/>
            </w:pPr>
            <w:r>
              <w:t xml:space="preserve">Internal plastering – cement-sand mortar (12mm thickness), both walls and ceilings</w:t>
            </w:r>
          </w:p>
        </w:tc>
        <w:tc>
          <w:tcPr/>
          <w:p>
            <w:pPr>
              <w:pStyle w:val="Compact"/>
              <w:jc w:val="left"/>
            </w:pPr>
            <w:r>
              <w:t xml:space="preserve">m²</w:t>
            </w:r>
          </w:p>
        </w:tc>
        <w:tc>
          <w:tcPr/>
          <w:p>
            <w:pPr>
              <w:pStyle w:val="Compact"/>
              <w:jc w:val="left"/>
            </w:pPr>
            <w:r>
              <w:t xml:space="preserve">12,800</w:t>
            </w:r>
          </w:p>
        </w:tc>
        <w:tc>
          <w:tcPr/>
          <w:p>
            <w:pPr>
              <w:pStyle w:val="Compact"/>
              <w:jc w:val="left"/>
            </w:pPr>
            <w:r>
              <w:t xml:space="preserve">480</w:t>
            </w:r>
          </w:p>
        </w:tc>
        <w:tc>
          <w:tcPr/>
          <w:p>
            <w:pPr>
              <w:pStyle w:val="Compact"/>
              <w:jc w:val="left"/>
            </w:pPr>
            <w:r>
              <w:t xml:space="preserve">6,144,000</w:t>
            </w:r>
          </w:p>
        </w:tc>
      </w:tr>
      <w:tr>
        <w:tc>
          <w:tcPr/>
          <w:p>
            <w:pPr>
              <w:pStyle w:val="Compact"/>
              <w:jc w:val="left"/>
            </w:pPr>
            <w:r>
              <w:t xml:space="preserve">6</w:t>
            </w:r>
          </w:p>
        </w:tc>
        <w:tc>
          <w:tcPr/>
          <w:p>
            <w:pPr>
              <w:pStyle w:val="Compact"/>
              <w:jc w:val="left"/>
            </w:pPr>
            <w:r>
              <w:t xml:space="preserve">External plastering and rendering – weather-resistant cement render (15mm)</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620</w:t>
            </w:r>
          </w:p>
        </w:tc>
        <w:tc>
          <w:tcPr/>
          <w:p>
            <w:pPr>
              <w:pStyle w:val="Compact"/>
              <w:jc w:val="left"/>
            </w:pPr>
            <w:r>
              <w:t xml:space="preserve">1,984,000</w:t>
            </w:r>
          </w:p>
        </w:tc>
      </w:tr>
      <w:tr>
        <w:tc>
          <w:tcPr/>
          <w:p>
            <w:pPr>
              <w:pStyle w:val="Compact"/>
              <w:jc w:val="left"/>
            </w:pPr>
            <w:r>
              <w:t xml:space="preserve">7</w:t>
            </w:r>
          </w:p>
        </w:tc>
        <w:tc>
          <w:tcPr/>
          <w:p>
            <w:pPr>
              <w:pStyle w:val="Compact"/>
              <w:jc w:val="left"/>
            </w:pPr>
            <w:r>
              <w:t xml:space="preserve">Boundary wall construction – 2.4m height, standard brick masonry with coping</w:t>
            </w:r>
          </w:p>
        </w:tc>
        <w:tc>
          <w:tcPr/>
          <w:p>
            <w:pPr>
              <w:pStyle w:val="Compact"/>
              <w:jc w:val="left"/>
            </w:pPr>
            <w:r>
              <w:t xml:space="preserve">lm</w:t>
            </w:r>
          </w:p>
        </w:tc>
        <w:tc>
          <w:tcPr/>
          <w:p>
            <w:pPr>
              <w:pStyle w:val="Compact"/>
              <w:jc w:val="left"/>
            </w:pPr>
            <w:r>
              <w:t xml:space="preserve">320</w:t>
            </w:r>
          </w:p>
        </w:tc>
        <w:tc>
          <w:tcPr/>
          <w:p>
            <w:pPr>
              <w:pStyle w:val="Compact"/>
              <w:jc w:val="left"/>
            </w:pPr>
            <w:r>
              <w:t xml:space="preserve">3,800</w:t>
            </w:r>
          </w:p>
        </w:tc>
        <w:tc>
          <w:tcPr/>
          <w:p>
            <w:pPr>
              <w:pStyle w:val="Compact"/>
              <w:jc w:val="left"/>
            </w:pPr>
            <w:r>
              <w:t xml:space="preserve">1,216,000</w:t>
            </w:r>
          </w:p>
        </w:tc>
      </w:tr>
      <w:tr>
        <w:tc>
          <w:tcPr/>
          <w:p>
            <w:pPr>
              <w:pStyle w:val="Compact"/>
              <w:jc w:val="left"/>
            </w:pPr>
            <w:r>
              <w:t xml:space="preserve">8</w:t>
            </w:r>
          </w:p>
        </w:tc>
        <w:tc>
          <w:tcPr/>
          <w:p>
            <w:pPr>
              <w:pStyle w:val="Compact"/>
              <w:jc w:val="left"/>
            </w:pPr>
            <w:r>
              <w:t xml:space="preserve">Staircase masonry – concrete block steps, stringers, and handrail supports</w:t>
            </w:r>
          </w:p>
        </w:tc>
        <w:tc>
          <w:tcPr/>
          <w:p>
            <w:pPr>
              <w:pStyle w:val="Compact"/>
              <w:jc w:val="left"/>
            </w:pPr>
            <w:r>
              <w:t xml:space="preserve">Lot</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9</w:t>
            </w:r>
          </w:p>
        </w:tc>
        <w:tc>
          <w:tcPr/>
          <w:p>
            <w:pPr>
              <w:pStyle w:val="Compact"/>
              <w:jc w:val="left"/>
            </w:pPr>
            <w:r>
              <w:t xml:space="preserve">Labour supervision by certified Mason foreman and site engineer</w:t>
            </w:r>
          </w:p>
        </w:tc>
        <w:tc>
          <w:tcPr/>
          <w:p>
            <w:pPr>
              <w:pStyle w:val="Compact"/>
              <w:jc w:val="left"/>
            </w:pPr>
            <w:r>
              <w:t xml:space="preserve">Month</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Site mobilization, scaffolding, and temporary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left"/>
            </w:pPr>
            <w:r>
              <w:t xml:space="preserve">TOTAL ESTIMATED COST (SDG)</w:t>
            </w:r>
          </w:p>
        </w:tc>
        <w:tc>
          <w:tcPr/>
          <w:p>
            <w:pPr>
              <w:pStyle w:val="Compact"/>
              <w:jc w:val="left"/>
            </w:pPr>
            <w:r>
              <w:t xml:space="preserve">23,883,500</w:t>
            </w:r>
          </w:p>
        </w:tc>
      </w:tr>
    </w:tbl>
    <w:p>
      <w:pPr>
        <w:pStyle w:val="BodyText"/>
      </w:pPr>
      <w:r>
        <w:rPr>
          <w:bCs/>
          <w:b/>
        </w:rPr>
        <w:t xml:space="preserve">Note:</w:t>
      </w:r>
      <w:r>
        <w:t xml:space="preserve"> </w:t>
      </w:r>
      <w:r>
        <w:t xml:space="preserve">All rates are quoted in Sudanese Pounds (SDG) and are inclusive of materials, labour, and standard tools. This Quotation Estimate does not include Value Added Tax (VAT) or any municipal permits required by the Khartoum State Ministry of Housing and Urban Planning. The client is responsible for obtaining all necessary building permits prior to commencement of Mason works on site.</w:t>
      </w:r>
    </w:p>
    <w:p>
      <w:pPr>
        <w:pStyle w:val="BodyText"/>
      </w:pPr>
      <w:r>
        <w:t xml:space="preserve">3. Project Duration and Milestones</w:t>
      </w:r>
    </w:p>
    <w:p>
      <w:pPr>
        <w:pStyle w:val="BodyText"/>
      </w:pPr>
      <w:r>
        <w:t xml:space="preserve">The total estimated duration for completion of all</w:t>
      </w:r>
      <w:r>
        <w:t xml:space="preserve"> </w:t>
      </w:r>
      <w:r>
        <w:t xml:space="preserve">Mason</w:t>
      </w:r>
      <w:r>
        <w:t xml:space="preserve"> </w:t>
      </w:r>
      <w:r>
        <w:t xml:space="preserve">works under this</w:t>
      </w:r>
      <w:r>
        <w:t xml:space="preserve"> </w:t>
      </w:r>
      <w:r>
        <w:t xml:space="preserve">Quotation Estimate</w:t>
      </w:r>
      <w:r>
        <w:t xml:space="preserve"> </w:t>
      </w:r>
      <w:r>
        <w:t xml:space="preserve">is</w:t>
      </w:r>
      <w:r>
        <w:t xml:space="preserve"> </w:t>
      </w:r>
      <w:r>
        <w:rPr>
          <w:bCs/>
          <w:b/>
        </w:rPr>
        <w:t xml:space="preserve">eight (8) calendar months</w:t>
      </w:r>
      <w:r>
        <w:t xml:space="preserve">, commencing from the date of contract signing and site handover in</w:t>
      </w:r>
      <w:r>
        <w:t xml:space="preserve"> </w:t>
      </w:r>
      <w:r>
        <w:t xml:space="preserve">Sudan Khartoum</w:t>
      </w:r>
      <w:r>
        <w:t xml:space="preserve">. The works shall be executed in the following phased sequence: foundation masonry (Months 1–2), superstructure wall construction (Months 3–5), partition and lintel works (Months 5–6), plastering and rendering (Months 6–7), and final finishing and handover (Month 8). Progress payments shall be made monthly based on verified completion percentages certified by the client's site representative.</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20% advance payment upon contract execution; 70% in monthly progress payments; 10% retention released upon final acceptance and completion of all Mason works.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prices may be subject to revision due to fluctuations in material costs in the Khartoum market.</w:t>
      </w:r>
    </w:p>
    <w:p>
      <w:pPr>
        <w:numPr>
          <w:ilvl w:val="0"/>
          <w:numId w:val="1001"/>
        </w:numPr>
        <w:pStyle w:val="Compact"/>
      </w:pPr>
      <w:r>
        <w:rPr>
          <w:bCs/>
          <w:b/>
        </w:rPr>
        <w:t xml:space="preserve">Warranty:</w:t>
      </w:r>
      <w:r>
        <w:t xml:space="preserve"> </w:t>
      </w:r>
      <w:r>
        <w:t xml:space="preserve">A structural warranty of two (2) years is provided on all masonry works from the date of final handover, covering defects in workmanship and materials.</w:t>
      </w:r>
    </w:p>
    <w:p>
      <w:pPr>
        <w:numPr>
          <w:ilvl w:val="0"/>
          <w:numId w:val="1001"/>
        </w:numPr>
        <w:pStyle w:val="Compact"/>
      </w:pPr>
      <w:r>
        <w:rPr>
          <w:bCs/>
          <w:b/>
        </w:rPr>
        <w:t xml:space="preserve">Compliance:</w:t>
      </w:r>
      <w:r>
        <w:t xml:space="preserve"> </w:t>
      </w:r>
      <w:r>
        <w:t xml:space="preserve">All Mason services shall be performed in accordance with Sudanese building regulations, safety standards, and the specifications outlined in the project drawings approved by the Khartoum municipal authority.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flooding of the Nile, civil unrest, or government-imposed construction moratoriums in Khartoum.</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amicable negotiation, failing which they shall be referred to arbitration under the Sudanese Arbitration Law, with the seat of arbitration in Khartoum.</w:t>
      </w:r>
    </w:p>
    <w:p>
      <w:pPr>
        <w:numPr>
          <w:ilvl w:val="0"/>
          <w:numId w:val="1001"/>
        </w:numPr>
        <w:pStyle w:val="Compact"/>
      </w:pPr>
      <w:r>
        <w:rPr>
          <w:bCs/>
          <w:b/>
        </w:rPr>
        <w:t xml:space="preserve">Insurance:</w:t>
      </w:r>
      <w:r>
        <w:t xml:space="preserve"> </w:t>
      </w:r>
      <w:r>
        <w:t xml:space="preserve">The contractor shall maintain comprehensive public liability insurance and workers' compensation coverage for all Mason personnel throughout the duration of the project.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Mason</w:t>
      </w:r>
      <w:r>
        <w:t xml:space="preserve"> </w:t>
      </w:r>
      <w:r>
        <w:t xml:space="preserve">works to be executed in</w:t>
      </w:r>
      <w:r>
        <w:t xml:space="preserve"> </w:t>
      </w:r>
      <w:r>
        <w:t xml:space="preserve">Sudan Khartoum</w:t>
      </w:r>
      <w:r>
        <w:t xml:space="preserve">. This document, once countersigned by both parties, shall constitute a binding agreement for the scope of work described.</w:t>
      </w:r>
    </w:p>
    <w:p>
      <w:pPr>
        <w:pStyle w:val="BodyText"/>
      </w:pPr>
      <w:r>
        <w:rPr>
          <w:bCs/>
          <w:b/>
        </w:rPr>
        <w:t xml:space="preserve">For and on behalf of:</w:t>
      </w:r>
      <w:r>
        <w:br/>
      </w:r>
      <w:r>
        <w:t xml:space="preserve">Nile Masonry &amp; Construction Services</w:t>
      </w:r>
    </w:p>
    <w:p>
      <w:pPr>
        <w:pStyle w:val="BodyText"/>
      </w:pPr>
      <w:r>
        <w:t xml:space="preserve">Name: Eng. Khalid Ibrahim Osman</w:t>
      </w:r>
      <w:r>
        <w:br/>
      </w:r>
      <w:r>
        <w:t xml:space="preserve">Title: Managing Director</w:t>
      </w:r>
      <w:r>
        <w:br/>
      </w:r>
      <w:r>
        <w:t xml:space="preserve">Signature &amp; Date: _________________________</w:t>
      </w:r>
    </w:p>
    <w:p>
      <w:pPr>
        <w:pStyle w:val="BodyText"/>
      </w:pPr>
      <w:r>
        <w:rPr>
          <w:bCs/>
          <w:b/>
        </w:rPr>
        <w:t xml:space="preserve">For and on behalf of:</w:t>
      </w:r>
      <w:r>
        <w:br/>
      </w:r>
      <w:r>
        <w:t xml:space="preserve">Al-Rashid Real Estate Development Co.</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is the property of Nile Masonry &amp; Construction Services and is issued exclusively for the project referenced above in Sudan Khartoum. Unauthorized reproduction or distribution is prohibited.</w:t>
      </w:r>
    </w:p>
    <w:p>
      <w:pPr>
        <w:pStyle w:val="BodyText"/>
      </w:pPr>
      <w:r>
        <w:t xml:space="preserve">Document Reference: QTE-2025-KRT-0347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Sudan Khartoum</dc:title>
  <dc:creator/>
  <dc:language>en</dc:language>
  <cp:keywords/>
  <dcterms:created xsi:type="dcterms:W3CDTF">2026-10-10T09:08:19Z</dcterms:created>
  <dcterms:modified xsi:type="dcterms:W3CDTF">2026-10-10T09:08:19Z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