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boğaziçi-mason-construction-ltd."/>
    <w:p>
      <w:pPr>
        <w:pStyle w:val="Heading1"/>
      </w:pPr>
      <w:r>
        <w:t xml:space="preserve">Boğaziçi Mason &amp; Construction Ltd.</w:t>
      </w:r>
    </w:p>
    <w:p>
      <w:pPr>
        <w:pStyle w:val="FirstParagraph"/>
      </w:pPr>
      <w:r>
        <w:t xml:space="preserve">Address: İstiklal Caddesi No. 142, Beyoğlu, 34433 Istanbul, Turkey</w:t>
      </w:r>
    </w:p>
    <w:p>
      <w:pPr>
        <w:pStyle w:val="BodyText"/>
      </w:pPr>
      <w:r>
        <w:t xml:space="preserve">Phone: +90 (212) 555-7842 | Email: quotes@bogazicimason.com.tr</w:t>
      </w:r>
    </w:p>
    <w:p>
      <w:pPr>
        <w:pStyle w:val="BodyText"/>
      </w:pPr>
      <w:r>
        <w:t xml:space="preserve">Tax ID (VKN): 1234567890 | Trade Registry: Istanbul TSO No. 45210</w:t>
      </w:r>
    </w:p>
    <w:bookmarkEnd w:id="20"/>
    <w:bookmarkStart w:id="21" w:name="quotation-estimate"/>
    <w:p>
      <w:pPr>
        <w:pStyle w:val="Heading2"/>
      </w:pPr>
      <w:r>
        <w:t xml:space="preserve">QUOTATION ESTIMATE</w:t>
      </w:r>
    </w:p>
    <w:p>
      <w:pPr>
        <w:pStyle w:val="FirstParagraph"/>
      </w:pPr>
      <w:r>
        <w:t xml:space="preserve">Reference No: QTE-IST-2025-0387</w:t>
      </w:r>
    </w:p>
    <w:p>
      <w:pPr>
        <w:pStyle w:val="BodyText"/>
      </w:pPr>
      <w:r>
        <w:t xml:space="preserve">Date of Issue: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Ahmet Yılmaz</w:t>
      </w:r>
    </w:p>
    <w:p>
      <w:pPr>
        <w:pStyle w:val="BodyText"/>
      </w:pPr>
      <w:r>
        <w:rPr>
          <w:bCs/>
          <w:b/>
        </w:rPr>
        <w:t xml:space="preserve">Company:</w:t>
      </w:r>
      <w:r>
        <w:t xml:space="preserve"> </w:t>
      </w:r>
      <w:r>
        <w:t xml:space="preserve">Yılmaz Gelişim A.Ş.</w:t>
      </w:r>
    </w:p>
    <w:p>
      <w:pPr>
        <w:pStyle w:val="BodyText"/>
      </w:pPr>
      <w:r>
        <w:rPr>
          <w:bCs/>
          <w:b/>
        </w:rPr>
        <w:t xml:space="preserve">Address:</w:t>
      </w:r>
      <w:r>
        <w:t xml:space="preserve"> </w:t>
      </w:r>
      <w:r>
        <w:t xml:space="preserve">Levent Mah. Büyükdere Cad. No. 56, Beşiktaş, Istanbul, Turkey</w:t>
      </w:r>
    </w:p>
    <w:p>
      <w:pPr>
        <w:pStyle w:val="BodyText"/>
      </w:pPr>
      <w:r>
        <w:rPr>
          <w:bCs/>
          <w:b/>
        </w:rPr>
        <w:t xml:space="preserve">Contact:</w:t>
      </w:r>
      <w:r>
        <w:t xml:space="preserve"> </w:t>
      </w:r>
      <w:r>
        <w:t xml:space="preserve">+90 (532) 441-2298</w:t>
      </w:r>
    </w:p>
    <w:bookmarkEnd w:id="22"/>
    <w:bookmarkStart w:id="23" w:name="project-location"/>
    <w:p>
      <w:pPr>
        <w:pStyle w:val="Heading3"/>
      </w:pPr>
      <w:r>
        <w:t xml:space="preserve">Project Location</w:t>
      </w:r>
    </w:p>
    <w:p>
      <w:pPr>
        <w:pStyle w:val="FirstParagraph"/>
      </w:pPr>
      <w:r>
        <w:rPr>
          <w:bCs/>
          <w:b/>
        </w:rPr>
        <w:t xml:space="preserve">Site:</w:t>
      </w:r>
      <w:r>
        <w:t xml:space="preserve"> </w:t>
      </w:r>
      <w:r>
        <w:t xml:space="preserve">Kadıköy District, Istanbul, Turkey</w:t>
      </w:r>
    </w:p>
    <w:p>
      <w:pPr>
        <w:pStyle w:val="BodyText"/>
      </w:pPr>
      <w:r>
        <w:rPr>
          <w:bCs/>
          <w:b/>
        </w:rPr>
        <w:t xml:space="preserve">Address:</w:t>
      </w:r>
      <w:r>
        <w:t xml:space="preserve"> </w:t>
      </w:r>
      <w:r>
        <w:t xml:space="preserve">Caferağa Mah. Moda Cad. No. 89, 34710 Kadıköy, Istanbul</w:t>
      </w:r>
    </w:p>
    <w:p>
      <w:pPr>
        <w:pStyle w:val="BodyText"/>
      </w:pPr>
      <w:r>
        <w:rPr>
          <w:bCs/>
          <w:b/>
        </w:rPr>
        <w:t xml:space="preserve">Project Type:</w:t>
      </w:r>
      <w:r>
        <w:t xml:space="preserve"> </w:t>
      </w:r>
      <w:r>
        <w:t xml:space="preserve">Residential Masonry Renovation</w:t>
      </w:r>
    </w:p>
    <w:p>
      <w:pPr>
        <w:pStyle w:val="BodyText"/>
      </w:pPr>
      <w:r>
        <w:rPr>
          <w:bCs/>
          <w:b/>
        </w:rPr>
        <w:t xml:space="preserve">Estimated Duration:</w:t>
      </w:r>
      <w:r>
        <w:t xml:space="preserve"> </w:t>
      </w:r>
      <w:r>
        <w:t xml:space="preserve">6 Weeks</w:t>
      </w:r>
    </w:p>
    <w:bookmarkEnd w:id="23"/>
    <w:p>
      <w:pPr>
        <w:pStyle w:val="BodyText"/>
      </w:pPr>
      <w:r>
        <w:t xml:space="preserve">Scope of Work – Mason Services in Turkey Istanbul</w:t>
      </w:r>
    </w:p>
    <w:p>
      <w:pPr>
        <w:pStyle w:val="BodyText"/>
      </w:pPr>
      <w:r>
        <w:t xml:space="preserve">This</w:t>
      </w:r>
      <w:r>
        <w:t xml:space="preserve"> </w:t>
      </w:r>
      <w:r>
        <w:t xml:space="preserve">Quotation Estimate</w:t>
      </w:r>
      <w:r>
        <w:t xml:space="preserve"> </w:t>
      </w:r>
      <w:r>
        <w:t xml:space="preserve">is issued by Boğaziçi Mason &amp; Construction Ltd. to provide a comprehensive and itemized cost breakdown for professional</w:t>
      </w:r>
      <w:r>
        <w:t xml:space="preserve"> </w:t>
      </w:r>
      <w:r>
        <w:t xml:space="preserve">Mason</w:t>
      </w:r>
      <w:r>
        <w:t xml:space="preserve"> </w:t>
      </w:r>
      <w:r>
        <w:t xml:space="preserve">services to be executed at the client's residential property located in the Kadıköy district of</w:t>
      </w:r>
      <w:r>
        <w:t xml:space="preserve"> </w:t>
      </w:r>
      <w:r>
        <w:t xml:space="preserve">Turkey Istanbul</w:t>
      </w:r>
      <w:r>
        <w:t xml:space="preserve">. Our team of certified masons, bricklayers, and stonemasons will carry out all structural and decorative masonry work in full compliance with the Turkish Building Code (Türk Yapı Denetimi) and the municipal regulations of Istanbul Metropolitan Municipality (İBB). The scope encompasses demolition of existing masonry walls, construction of new load-bearing and partition walls, application of natural stone cladding, and finishing works including plastering and tiling preparation.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Demolition and removal of existing masonry partition walls (10 cm hollow block)</w:t>
            </w:r>
          </w:p>
        </w:tc>
        <w:tc>
          <w:tcPr/>
          <w:p>
            <w:pPr>
              <w:pStyle w:val="Compact"/>
              <w:jc w:val="left"/>
            </w:pPr>
            <w:r>
              <w:t xml:space="preserve">m²</w:t>
            </w:r>
          </w:p>
        </w:tc>
        <w:tc>
          <w:tcPr/>
          <w:p>
            <w:pPr>
              <w:pStyle w:val="Compact"/>
              <w:jc w:val="left"/>
            </w:pPr>
            <w:r>
              <w:t xml:space="preserve">85</w:t>
            </w:r>
          </w:p>
        </w:tc>
        <w:tc>
          <w:tcPr/>
          <w:p>
            <w:pPr>
              <w:pStyle w:val="Compact"/>
              <w:jc w:val="left"/>
            </w:pPr>
            <w:r>
              <w:t xml:space="preserve">450.00</w:t>
            </w:r>
          </w:p>
        </w:tc>
        <w:tc>
          <w:tcPr/>
          <w:p>
            <w:pPr>
              <w:pStyle w:val="Compact"/>
              <w:jc w:val="left"/>
            </w:pPr>
            <w:r>
              <w:t xml:space="preserve">38,250.00</w:t>
            </w:r>
          </w:p>
        </w:tc>
      </w:tr>
      <w:tr>
        <w:tc>
          <w:tcPr/>
          <w:p>
            <w:pPr>
              <w:pStyle w:val="Compact"/>
              <w:jc w:val="left"/>
            </w:pPr>
            <w:r>
              <w:t xml:space="preserve">2</w:t>
            </w:r>
          </w:p>
        </w:tc>
        <w:tc>
          <w:tcPr/>
          <w:p>
            <w:pPr>
              <w:pStyle w:val="Compact"/>
              <w:jc w:val="left"/>
            </w:pPr>
            <w:r>
              <w:t xml:space="preserve">Construction of new load-bearing masonry walls using 20 cm solid concrete blocks with reinforced mortar joints</w:t>
            </w:r>
          </w:p>
        </w:tc>
        <w:tc>
          <w:tcPr/>
          <w:p>
            <w:pPr>
              <w:pStyle w:val="Compact"/>
              <w:jc w:val="left"/>
            </w:pPr>
            <w:r>
              <w:t xml:space="preserve">m²</w:t>
            </w:r>
          </w:p>
        </w:tc>
        <w:tc>
          <w:tcPr/>
          <w:p>
            <w:pPr>
              <w:pStyle w:val="Compact"/>
              <w:jc w:val="left"/>
            </w:pPr>
            <w:r>
              <w:t xml:space="preserve">120</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Construction of interior partition walls using 10 cm lightweight masonry blocks</w:t>
            </w:r>
          </w:p>
        </w:tc>
        <w:tc>
          <w:tcPr/>
          <w:p>
            <w:pPr>
              <w:pStyle w:val="Compact"/>
              <w:jc w:val="left"/>
            </w:pPr>
            <w:r>
              <w:t xml:space="preserve">m²</w:t>
            </w:r>
          </w:p>
        </w:tc>
        <w:tc>
          <w:tcPr/>
          <w:p>
            <w:pPr>
              <w:pStyle w:val="Compact"/>
              <w:jc w:val="left"/>
            </w:pPr>
            <w:r>
              <w:t xml:space="preserve">95</w:t>
            </w:r>
          </w:p>
        </w:tc>
        <w:tc>
          <w:tcPr/>
          <w:p>
            <w:pPr>
              <w:pStyle w:val="Compact"/>
              <w:jc w:val="left"/>
            </w:pPr>
            <w:r>
              <w:t xml:space="preserve">780.00</w:t>
            </w:r>
          </w:p>
        </w:tc>
        <w:tc>
          <w:tcPr/>
          <w:p>
            <w:pPr>
              <w:pStyle w:val="Compact"/>
              <w:jc w:val="left"/>
            </w:pPr>
            <w:r>
              <w:t xml:space="preserve">74,100.00</w:t>
            </w:r>
          </w:p>
        </w:tc>
      </w:tr>
      <w:tr>
        <w:tc>
          <w:tcPr/>
          <w:p>
            <w:pPr>
              <w:pStyle w:val="Compact"/>
              <w:jc w:val="left"/>
            </w:pPr>
            <w:r>
              <w:t xml:space="preserve">4</w:t>
            </w:r>
          </w:p>
        </w:tc>
        <w:tc>
          <w:tcPr/>
          <w:p>
            <w:pPr>
              <w:pStyle w:val="Compact"/>
              <w:jc w:val="left"/>
            </w:pPr>
            <w:r>
              <w:t xml:space="preserve">Natural travertine stone cladding application on exterior façade (Istanbul local quarry stone)</w:t>
            </w:r>
          </w:p>
        </w:tc>
        <w:tc>
          <w:tcPr/>
          <w:p>
            <w:pPr>
              <w:pStyle w:val="Compact"/>
              <w:jc w:val="left"/>
            </w:pPr>
            <w:r>
              <w:t xml:space="preserve">m²</w:t>
            </w:r>
          </w:p>
        </w:tc>
        <w:tc>
          <w:tcPr/>
          <w:p>
            <w:pPr>
              <w:pStyle w:val="Compact"/>
              <w:jc w:val="left"/>
            </w:pPr>
            <w:r>
              <w:t xml:space="preserve">210</w:t>
            </w:r>
          </w:p>
        </w:tc>
        <w:tc>
          <w:tcPr/>
          <w:p>
            <w:pPr>
              <w:pStyle w:val="Compact"/>
              <w:jc w:val="left"/>
            </w:pPr>
            <w:r>
              <w:t xml:space="preserve">2,400.00</w:t>
            </w:r>
          </w:p>
        </w:tc>
        <w:tc>
          <w:tcPr/>
          <w:p>
            <w:pPr>
              <w:pStyle w:val="Compact"/>
              <w:jc w:val="left"/>
            </w:pPr>
            <w:r>
              <w:t xml:space="preserve">504,000.00</w:t>
            </w:r>
          </w:p>
        </w:tc>
      </w:tr>
      <w:tr>
        <w:tc>
          <w:tcPr/>
          <w:p>
            <w:pPr>
              <w:pStyle w:val="Compact"/>
              <w:jc w:val="left"/>
            </w:pPr>
            <w:r>
              <w:t xml:space="preserve">5</w:t>
            </w:r>
          </w:p>
        </w:tc>
        <w:tc>
          <w:tcPr/>
          <w:p>
            <w:pPr>
              <w:pStyle w:val="Compact"/>
              <w:jc w:val="left"/>
            </w:pPr>
            <w:r>
              <w:t xml:space="preserve">Brick arch construction for entrance portal (hand-laid Turkish red brick)</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Mortar joint repointing and weatherproofing of existing exterior masonry</w:t>
            </w:r>
          </w:p>
        </w:tc>
        <w:tc>
          <w:tcPr/>
          <w:p>
            <w:pPr>
              <w:pStyle w:val="Compact"/>
              <w:jc w:val="left"/>
            </w:pPr>
            <w:r>
              <w:t xml:space="preserve">m²</w:t>
            </w:r>
          </w:p>
        </w:tc>
        <w:tc>
          <w:tcPr/>
          <w:p>
            <w:pPr>
              <w:pStyle w:val="Compact"/>
              <w:jc w:val="left"/>
            </w:pPr>
            <w:r>
              <w:t xml:space="preserve">340</w:t>
            </w:r>
          </w:p>
        </w:tc>
        <w:tc>
          <w:tcPr/>
          <w:p>
            <w:pPr>
              <w:pStyle w:val="Compact"/>
              <w:jc w:val="left"/>
            </w:pPr>
            <w:r>
              <w:t xml:space="preserve">320.00</w:t>
            </w:r>
          </w:p>
        </w:tc>
        <w:tc>
          <w:tcPr/>
          <w:p>
            <w:pPr>
              <w:pStyle w:val="Compact"/>
              <w:jc w:val="left"/>
            </w:pPr>
            <w:r>
              <w:t xml:space="preserve">108,800.00</w:t>
            </w:r>
          </w:p>
        </w:tc>
      </w:tr>
      <w:tr>
        <w:tc>
          <w:tcPr/>
          <w:p>
            <w:pPr>
              <w:pStyle w:val="Compact"/>
              <w:jc w:val="left"/>
            </w:pPr>
            <w:r>
              <w:t xml:space="preserve">7</w:t>
            </w:r>
          </w:p>
        </w:tc>
        <w:tc>
          <w:tcPr/>
          <w:p>
            <w:pPr>
              <w:pStyle w:val="Compact"/>
              <w:jc w:val="left"/>
            </w:pPr>
            <w:r>
              <w:t xml:space="preserve">Interior plastering preparation on new masonry surfaces (two-coat cement plaster)</w:t>
            </w:r>
          </w:p>
        </w:tc>
        <w:tc>
          <w:tcPr/>
          <w:p>
            <w:pPr>
              <w:pStyle w:val="Compact"/>
              <w:jc w:val="left"/>
            </w:pPr>
            <w:r>
              <w:t xml:space="preserve">m²</w:t>
            </w:r>
          </w:p>
        </w:tc>
        <w:tc>
          <w:tcPr/>
          <w:p>
            <w:pPr>
              <w:pStyle w:val="Compact"/>
              <w:jc w:val="left"/>
            </w:pPr>
            <w:r>
              <w:t xml:space="preserve">215</w:t>
            </w:r>
          </w:p>
        </w:tc>
        <w:tc>
          <w:tcPr/>
          <w:p>
            <w:pPr>
              <w:pStyle w:val="Compact"/>
              <w:jc w:val="left"/>
            </w:pPr>
            <w:r>
              <w:t xml:space="preserve">380.00</w:t>
            </w:r>
          </w:p>
        </w:tc>
        <w:tc>
          <w:tcPr/>
          <w:p>
            <w:pPr>
              <w:pStyle w:val="Compact"/>
              <w:jc w:val="left"/>
            </w:pPr>
            <w:r>
              <w:t xml:space="preserve">81,700.00</w:t>
            </w:r>
          </w:p>
        </w:tc>
      </w:tr>
      <w:tr>
        <w:tc>
          <w:tcPr/>
          <w:p>
            <w:pPr>
              <w:pStyle w:val="Compact"/>
              <w:jc w:val="left"/>
            </w:pPr>
            <w:r>
              <w:t xml:space="preserve">8</w:t>
            </w:r>
          </w:p>
        </w:tc>
        <w:tc>
          <w:tcPr/>
          <w:p>
            <w:pPr>
              <w:pStyle w:val="Compact"/>
              <w:jc w:val="left"/>
            </w:pPr>
            <w:r>
              <w:t xml:space="preserve">Site cleanup, debris removal, and disposal in compliance with Istanbul municipal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9</w:t>
            </w:r>
          </w:p>
        </w:tc>
        <w:tc>
          <w:tcPr/>
          <w:p>
            <w:pPr>
              <w:pStyle w:val="Compact"/>
              <w:jc w:val="left"/>
            </w:pPr>
            <w:r>
              <w:t xml:space="preserve">Project supervision by senior Mason foreman and daily progress reporting</w:t>
            </w:r>
          </w:p>
        </w:tc>
        <w:tc>
          <w:tcPr/>
          <w:p>
            <w:pPr>
              <w:pStyle w:val="Compact"/>
              <w:jc w:val="left"/>
            </w:pPr>
            <w:r>
              <w:t xml:space="preserve">Week</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gridSpan w:val="5"/>
          </w:tcPr>
          <w:p>
            <w:pPr>
              <w:pStyle w:val="Compact"/>
              <w:jc w:val="left"/>
            </w:pPr>
            <w:r>
              <w:t xml:space="preserve">Subtotal (TRY)</w:t>
            </w:r>
          </w:p>
        </w:tc>
        <w:tc>
          <w:tcPr/>
          <w:p>
            <w:pPr>
              <w:pStyle w:val="Compact"/>
              <w:jc w:val="left"/>
            </w:pPr>
            <w:r>
              <w:t xml:space="preserve">1,102,350.00</w:t>
            </w:r>
          </w:p>
        </w:tc>
      </w:tr>
      <w:tr>
        <w:tc>
          <w:tcPr>
            <w:gridSpan w:val="5"/>
          </w:tcPr>
          <w:p>
            <w:pPr>
              <w:pStyle w:val="Compact"/>
              <w:jc w:val="left"/>
            </w:pPr>
            <w:r>
              <w:t xml:space="preserve">VAT (KDV) – 20%</w:t>
            </w:r>
          </w:p>
        </w:tc>
        <w:tc>
          <w:tcPr/>
          <w:p>
            <w:pPr>
              <w:pStyle w:val="Compact"/>
              <w:jc w:val="left"/>
            </w:pPr>
            <w:r>
              <w:t xml:space="preserve">220,470.00</w:t>
            </w:r>
          </w:p>
        </w:tc>
      </w:tr>
      <w:tr>
        <w:tc>
          <w:tcPr>
            <w:gridSpan w:val="5"/>
          </w:tcPr>
          <w:p>
            <w:pPr>
              <w:pStyle w:val="Compact"/>
              <w:jc w:val="left"/>
            </w:pPr>
            <w:r>
              <w:rPr>
                <w:bCs/>
                <w:b/>
              </w:rPr>
              <w:t xml:space="preserve">GRAND TOTAL (TRY)</w:t>
            </w:r>
          </w:p>
        </w:tc>
        <w:tc>
          <w:tcPr/>
          <w:p>
            <w:pPr>
              <w:pStyle w:val="Compact"/>
              <w:jc w:val="left"/>
            </w:pPr>
            <w:r>
              <w:rPr>
                <w:bCs/>
                <w:b/>
              </w:rPr>
              <w:t xml:space="preserve">1,322,820.00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are subject to revision based on current material costs in the</w:t>
      </w:r>
      <w:r>
        <w:t xml:space="preserve"> </w:t>
      </w:r>
      <w:r>
        <w:t xml:space="preserve">Turkey Istanbul</w:t>
      </w:r>
      <w:r>
        <w:t xml:space="preserve"> </w:t>
      </w:r>
      <w:r>
        <w:t xml:space="preserve">construction market.</w:t>
      </w:r>
    </w:p>
    <w:p>
      <w:pPr>
        <w:numPr>
          <w:ilvl w:val="0"/>
          <w:numId w:val="1001"/>
        </w:numPr>
        <w:pStyle w:val="Compact"/>
      </w:pPr>
      <w:r>
        <w:t xml:space="preserve">Payment shall be made in three installments: 40% upon contract signing, 35% upon completion of structural masonry work, and 25% upon final handover and client acceptance.</w:t>
      </w:r>
    </w:p>
    <w:p>
      <w:pPr>
        <w:numPr>
          <w:ilvl w:val="0"/>
          <w:numId w:val="1001"/>
        </w:numPr>
        <w:pStyle w:val="Compact"/>
      </w:pPr>
      <w:r>
        <w:t xml:space="preserve">All</w:t>
      </w:r>
      <w:r>
        <w:t xml:space="preserve"> </w:t>
      </w:r>
      <w:r>
        <w:t xml:space="preserve">Mason</w:t>
      </w:r>
      <w:r>
        <w:t xml:space="preserve"> </w:t>
      </w:r>
      <w:r>
        <w:t xml:space="preserve">personnel assigned to this project shall hold valid Turkish construction worker certifications and shall be covered under occupational health and safety (İSG) insurance as mandated by Turkish labor law.</w:t>
      </w:r>
    </w:p>
    <w:p>
      <w:pPr>
        <w:numPr>
          <w:ilvl w:val="0"/>
          <w:numId w:val="1001"/>
        </w:numPr>
        <w:pStyle w:val="Compact"/>
      </w:pPr>
      <w:r>
        <w:t xml:space="preserve">Materials including concrete blocks, natural stone, mortar, and reinforcement steel shall be sourced from approved suppliers within the Istanbul metropolitan area to ensure quality consistency and timely delivery.</w:t>
      </w:r>
    </w:p>
    <w:p>
      <w:pPr>
        <w:numPr>
          <w:ilvl w:val="0"/>
          <w:numId w:val="1001"/>
        </w:numPr>
        <w:pStyle w:val="Compact"/>
      </w:pPr>
      <w:r>
        <w:t xml:space="preserve">The project timeline of six (6) weeks assumes standard working conditions. Delays caused by adverse weather, municipal permit holdups, or force majeure events in</w:t>
      </w:r>
      <w:r>
        <w:t xml:space="preserve"> </w:t>
      </w:r>
      <w:r>
        <w:t xml:space="preserve">Turkey Istanbul</w:t>
      </w:r>
      <w:r>
        <w:t xml:space="preserve"> </w:t>
      </w:r>
      <w:r>
        <w:t xml:space="preserve">shall extend the schedule proportionally without additional cost to the client.</w:t>
      </w:r>
    </w:p>
    <w:p>
      <w:pPr>
        <w:numPr>
          <w:ilvl w:val="0"/>
          <w:numId w:val="1001"/>
        </w:numPr>
        <w:pStyle w:val="Compact"/>
      </w:pPr>
      <w:r>
        <w:t xml:space="preserve">A two-year (24-month) warranty is provided on all structural masonry work performed under this quotation. Decorative stone cladding carries a one-year (12-month) warranty against manufacturing defects.</w:t>
      </w:r>
    </w:p>
    <w:p>
      <w:pPr>
        <w:numPr>
          <w:ilvl w:val="0"/>
          <w:numId w:val="1001"/>
        </w:numPr>
        <w:pStyle w:val="Compact"/>
      </w:pPr>
      <w:r>
        <w:t xml:space="preserve">The client is responsible for obtaining all necessary building permits from the Kadıköy District Municipality and the Istanbul Metropolitan Municipality prior to the commencement of masonry work.</w:t>
      </w:r>
    </w:p>
    <w:p>
      <w:pPr>
        <w:numPr>
          <w:ilvl w:val="0"/>
          <w:numId w:val="1001"/>
        </w:numPr>
        <w:pStyle w:val="Compact"/>
      </w:pPr>
      <w:r>
        <w:t xml:space="preserve">Any changes to the scope of work beyond the items listed in this</w:t>
      </w:r>
      <w:r>
        <w:t xml:space="preserve"> </w:t>
      </w:r>
      <w:r>
        <w:t xml:space="preserve">Quotation Estimate</w:t>
      </w:r>
      <w:r>
        <w:t xml:space="preserve"> </w:t>
      </w:r>
      <w:r>
        <w:t xml:space="preserve">shall be subject to a written change order and additional cost assessment approved by both parties.</w:t>
      </w:r>
    </w:p>
    <w:p>
      <w:pPr>
        <w:pStyle w:val="FirstParagraph"/>
      </w:pPr>
      <w:r>
        <w:t xml:space="preserve">Acceptance and Authorization</w:t>
      </w:r>
    </w:p>
    <w:p>
      <w:pPr>
        <w:pStyle w:val="BodyText"/>
      </w:pPr>
      <w:r>
        <w:rPr>
          <w:bCs/>
          <w:b/>
        </w:rPr>
        <w:t xml:space="preserve">For Boğaziçi Mason &amp; Construction Ltd.</w:t>
      </w:r>
    </w:p>
    <w:p>
      <w:pPr>
        <w:pStyle w:val="BodyText"/>
      </w:pPr>
      <w:r>
        <w:t xml:space="preserve">Name: Mehmet Kaya</w:t>
      </w:r>
    </w:p>
    <w:p>
      <w:pPr>
        <w:pStyle w:val="BodyText"/>
      </w:pPr>
      <w:r>
        <w:t xml:space="preserve">Title: General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(Yılmaz Gelişim A.Ş.)</w:t>
      </w:r>
    </w:p>
    <w:p>
      <w:pPr>
        <w:pStyle w:val="BodyText"/>
      </w:pPr>
      <w:r>
        <w:t xml:space="preserve">Name: Ahmet Yılmaz</w:t>
      </w:r>
    </w:p>
    <w:p>
      <w:pPr>
        <w:pStyle w:val="BodyText"/>
      </w:pPr>
      <w:r>
        <w:t xml:space="preserve">Title: Authorized Representative</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document was prepared exclusively for the client named above and is not transferable. All prices are quoted in Turkish Lira (TRY) and are inclusive of labor, standard materials, and equipment. Boğaziçi Mason &amp; Construction Ltd. – Istanbul, Turkey. Document Ref: QTE-IST-2025-0387.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Turkey Istanbul</dc:title>
  <dc:creator/>
  <dc:language>en</dc:language>
  <cp:keywords/>
  <dcterms:created xsi:type="dcterms:W3CDTF">2026-10-10T06:39:12Z</dcterms:created>
  <dcterms:modified xsi:type="dcterms:W3CDTF">2026-10-10T06:39:12Z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