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rPr>
          <w:bCs/>
          <w:b/>
        </w:rPr>
        <w:t xml:space="preserve">Al Noor Mason &amp; Construction Services LLC</w:t>
      </w:r>
    </w:p>
    <w:p>
      <w:pPr>
        <w:pStyle w:val="BodyText"/>
      </w:pPr>
      <w:r>
        <w:t xml:space="preserve">P.O. Box 45218, Al Reem Island, United Arab Emirates Abu Dhabi</w:t>
      </w:r>
    </w:p>
    <w:p>
      <w:pPr>
        <w:pStyle w:val="BodyText"/>
      </w:pPr>
      <w:r>
        <w:t xml:space="preserve">Tel: +971 2 555 0142 | Email: quotations@alnoormason.ae</w:t>
      </w:r>
    </w:p>
    <w:p>
      <w:pPr>
        <w:pStyle w:val="BodyText"/>
      </w:pPr>
      <w:r>
        <w:t xml:space="preserve">Trade License No. AD-2019-78432 | VAT Registration No. 100234567800003</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QTE-AD-2025-00847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United Arab Emirates Dirham (AED)</w:t>
            </w:r>
          </w:p>
        </w:tc>
      </w:tr>
      <w:tr>
        <w:tc>
          <w:tcPr/>
          <w:p>
            <w:pPr>
              <w:pStyle w:val="Compact"/>
              <w:jc w:val="left"/>
            </w:pPr>
            <w:r>
              <w:t xml:space="preserve">Client Name</w:t>
            </w:r>
          </w:p>
        </w:tc>
        <w:tc>
          <w:tcPr/>
          <w:p>
            <w:pPr>
              <w:pStyle w:val="Compact"/>
              <w:jc w:val="left"/>
            </w:pPr>
            <w:r>
              <w:t xml:space="preserve">Al Maktoum Residential Development FZ</w:t>
            </w:r>
          </w:p>
        </w:tc>
        <w:tc>
          <w:tcPr/>
          <w:p>
            <w:pPr>
              <w:pStyle w:val="Compact"/>
              <w:jc w:val="left"/>
            </w:pPr>
            <w:r>
              <w:t xml:space="preserve">Project Location</w:t>
            </w:r>
          </w:p>
        </w:tc>
        <w:tc>
          <w:tcPr/>
          <w:p>
            <w:pPr>
              <w:pStyle w:val="Compact"/>
              <w:jc w:val="left"/>
            </w:pPr>
            <w:r>
              <w:t xml:space="preserve">Al Reem Island, United Arab Emirates Abu Dhabi</w:t>
            </w:r>
          </w:p>
        </w:tc>
      </w:tr>
      <w:tr>
        <w:tc>
          <w:tcPr/>
          <w:p>
            <w:pPr>
              <w:pStyle w:val="Compact"/>
              <w:jc w:val="left"/>
            </w:pPr>
            <w:r>
              <w:t xml:space="preserve">Client Contact</w:t>
            </w:r>
          </w:p>
        </w:tc>
        <w:tc>
          <w:tcPr/>
          <w:p>
            <w:pPr>
              <w:pStyle w:val="Compact"/>
              <w:jc w:val="left"/>
            </w:pPr>
            <w:r>
              <w:t xml:space="preserve">Eng. Khalid Al Mansoori – +971 50 442 8810</w:t>
            </w:r>
          </w:p>
        </w:tc>
        <w:tc>
          <w:tcPr/>
          <w:p>
            <w:pPr>
              <w:pStyle w:val="Compact"/>
              <w:jc w:val="left"/>
            </w:pPr>
            <w:r>
              <w:t xml:space="preserve">Project Reference</w:t>
            </w:r>
          </w:p>
        </w:tc>
        <w:tc>
          <w:tcPr/>
          <w:p>
            <w:pPr>
              <w:pStyle w:val="Compact"/>
              <w:jc w:val="left"/>
            </w:pPr>
            <w:r>
              <w:t xml:space="preserve">ARD-2025-Phase 3 – Block C</w:t>
            </w:r>
          </w:p>
        </w:tc>
      </w:tr>
    </w:tbl>
    <w:bookmarkStart w:id="21" w:name="scope-of-work-mason-services"/>
    <w:p>
      <w:pPr>
        <w:pStyle w:val="Heading2"/>
      </w:pPr>
      <w:r>
        <w:t xml:space="preserve">1. Scope of Work – Mason Services</w:t>
      </w:r>
    </w:p>
    <w:p>
      <w:pPr>
        <w:pStyle w:val="FirstParagraph"/>
      </w:pPr>
      <w:r>
        <w:t xml:space="preserve">This Quotation Estimate is issued by Al Noor Mason &amp; Construction Services LLC in response to the client's request for comprehensive masonry works at the Al Reem Island residential development site in United Arab Emirates Abu Dhabi. The scope encompasses all Mason-related activities including but not limited to: structural blockwork, decorative stone cladding, internal and external brickwork, plastering, and finishing works. All Mason work shall be executed in strict compliance with the Abu Dhabi Municipality building codes, the UAE Civil Defence requirements, and the project-specific architectural drawings approved by the client's supervising consultant.</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Total Amount (AED)</w:t>
            </w:r>
          </w:p>
        </w:tc>
      </w:tr>
      <w:tr>
        <w:tc>
          <w:tcPr/>
          <w:p>
            <w:pPr>
              <w:pStyle w:val="Compact"/>
              <w:jc w:val="left"/>
            </w:pPr>
            <w:r>
              <w:t xml:space="preserve">1</w:t>
            </w:r>
          </w:p>
        </w:tc>
        <w:tc>
          <w:tcPr/>
          <w:p>
            <w:pPr>
              <w:pStyle w:val="Compact"/>
              <w:jc w:val="left"/>
            </w:pPr>
            <w:r>
              <w:t xml:space="preserve">Structural hollow block masonry (200mm) – external walls, including mortar, reinforcement, and curing</w:t>
            </w:r>
          </w:p>
        </w:tc>
        <w:tc>
          <w:tcPr/>
          <w:p>
            <w:pPr>
              <w:pStyle w:val="Compact"/>
              <w:jc w:val="left"/>
            </w:pPr>
            <w:r>
              <w:t xml:space="preserve">SQM</w:t>
            </w:r>
          </w:p>
        </w:tc>
        <w:tc>
          <w:tcPr/>
          <w:p>
            <w:pPr>
              <w:pStyle w:val="Compact"/>
              <w:jc w:val="left"/>
            </w:pPr>
            <w:r>
              <w:t xml:space="preserve">1,240</w:t>
            </w:r>
          </w:p>
        </w:tc>
        <w:tc>
          <w:tcPr/>
          <w:p>
            <w:pPr>
              <w:pStyle w:val="Compact"/>
              <w:jc w:val="left"/>
            </w:pPr>
            <w:r>
              <w:t xml:space="preserve">85.00</w:t>
            </w:r>
          </w:p>
        </w:tc>
        <w:tc>
          <w:tcPr/>
          <w:p>
            <w:pPr>
              <w:pStyle w:val="Compact"/>
              <w:jc w:val="left"/>
            </w:pPr>
            <w:r>
              <w:t xml:space="preserve">105,400.00</w:t>
            </w:r>
          </w:p>
        </w:tc>
      </w:tr>
      <w:tr>
        <w:tc>
          <w:tcPr/>
          <w:p>
            <w:pPr>
              <w:pStyle w:val="Compact"/>
              <w:jc w:val="left"/>
            </w:pPr>
            <w:r>
              <w:t xml:space="preserve">2</w:t>
            </w:r>
          </w:p>
        </w:tc>
        <w:tc>
          <w:tcPr/>
          <w:p>
            <w:pPr>
              <w:pStyle w:val="Compact"/>
              <w:jc w:val="left"/>
            </w:pPr>
            <w:r>
              <w:t xml:space="preserve">Internal partition blockwork (100mm) with wire mesh reinforcement at junctions</w:t>
            </w:r>
          </w:p>
        </w:tc>
        <w:tc>
          <w:tcPr/>
          <w:p>
            <w:pPr>
              <w:pStyle w:val="Compact"/>
              <w:jc w:val="left"/>
            </w:pPr>
            <w:r>
              <w:t xml:space="preserve">SQM</w:t>
            </w:r>
          </w:p>
        </w:tc>
        <w:tc>
          <w:tcPr/>
          <w:p>
            <w:pPr>
              <w:pStyle w:val="Compact"/>
              <w:jc w:val="left"/>
            </w:pPr>
            <w:r>
              <w:t xml:space="preserve">2,180</w:t>
            </w:r>
          </w:p>
        </w:tc>
        <w:tc>
          <w:tcPr/>
          <w:p>
            <w:pPr>
              <w:pStyle w:val="Compact"/>
              <w:jc w:val="left"/>
            </w:pPr>
            <w:r>
              <w:t xml:space="preserve">62.00</w:t>
            </w:r>
          </w:p>
        </w:tc>
        <w:tc>
          <w:tcPr/>
          <w:p>
            <w:pPr>
              <w:pStyle w:val="Compact"/>
              <w:jc w:val="left"/>
            </w:pPr>
            <w:r>
              <w:t xml:space="preserve">135,160.00</w:t>
            </w:r>
          </w:p>
        </w:tc>
      </w:tr>
      <w:tr>
        <w:tc>
          <w:tcPr/>
          <w:p>
            <w:pPr>
              <w:pStyle w:val="Compact"/>
              <w:jc w:val="left"/>
            </w:pPr>
            <w:r>
              <w:t xml:space="preserve">3</w:t>
            </w:r>
          </w:p>
        </w:tc>
        <w:tc>
          <w:tcPr/>
          <w:p>
            <w:pPr>
              <w:pStyle w:val="Compact"/>
              <w:jc w:val="left"/>
            </w:pPr>
            <w:r>
              <w:t xml:space="preserve">Decorative natural stone cladding (granite, 20mm thick) – podium and lobby areas</w:t>
            </w:r>
          </w:p>
        </w:tc>
        <w:tc>
          <w:tcPr/>
          <w:p>
            <w:pPr>
              <w:pStyle w:val="Compact"/>
              <w:jc w:val="left"/>
            </w:pPr>
            <w:r>
              <w:t xml:space="preserve">SQM</w:t>
            </w:r>
          </w:p>
        </w:tc>
        <w:tc>
          <w:tcPr/>
          <w:p>
            <w:pPr>
              <w:pStyle w:val="Compact"/>
              <w:jc w:val="left"/>
            </w:pPr>
            <w:r>
              <w:t xml:space="preserve">485</w:t>
            </w:r>
          </w:p>
        </w:tc>
        <w:tc>
          <w:tcPr/>
          <w:p>
            <w:pPr>
              <w:pStyle w:val="Compact"/>
              <w:jc w:val="left"/>
            </w:pPr>
            <w:r>
              <w:t xml:space="preserve">320.00</w:t>
            </w:r>
          </w:p>
        </w:tc>
        <w:tc>
          <w:tcPr/>
          <w:p>
            <w:pPr>
              <w:pStyle w:val="Compact"/>
              <w:jc w:val="left"/>
            </w:pPr>
            <w:r>
              <w:t xml:space="preserve">155,200.00</w:t>
            </w:r>
          </w:p>
        </w:tc>
      </w:tr>
      <w:tr>
        <w:tc>
          <w:tcPr/>
          <w:p>
            <w:pPr>
              <w:pStyle w:val="Compact"/>
              <w:jc w:val="left"/>
            </w:pPr>
            <w:r>
              <w:t xml:space="preserve">4</w:t>
            </w:r>
          </w:p>
        </w:tc>
        <w:tc>
          <w:tcPr/>
          <w:p>
            <w:pPr>
              <w:pStyle w:val="Compact"/>
              <w:jc w:val="left"/>
            </w:pPr>
            <w:r>
              <w:t xml:space="preserve">External render and plaster (two-coat, 15mm) with weatherproofing additive suitable for Abu Dhabi climate</w:t>
            </w:r>
          </w:p>
        </w:tc>
        <w:tc>
          <w:tcPr/>
          <w:p>
            <w:pPr>
              <w:pStyle w:val="Compact"/>
              <w:jc w:val="left"/>
            </w:pPr>
            <w:r>
              <w:t xml:space="preserve">SQM</w:t>
            </w:r>
          </w:p>
        </w:tc>
        <w:tc>
          <w:tcPr/>
          <w:p>
            <w:pPr>
              <w:pStyle w:val="Compact"/>
              <w:jc w:val="left"/>
            </w:pPr>
            <w:r>
              <w:t xml:space="preserve">3,420</w:t>
            </w:r>
          </w:p>
        </w:tc>
        <w:tc>
          <w:tcPr/>
          <w:p>
            <w:pPr>
              <w:pStyle w:val="Compact"/>
              <w:jc w:val="left"/>
            </w:pPr>
            <w:r>
              <w:t xml:space="preserve">48.00</w:t>
            </w:r>
          </w:p>
        </w:tc>
        <w:tc>
          <w:tcPr/>
          <w:p>
            <w:pPr>
              <w:pStyle w:val="Compact"/>
              <w:jc w:val="left"/>
            </w:pPr>
            <w:r>
              <w:t xml:space="preserve">164,160.00</w:t>
            </w:r>
          </w:p>
        </w:tc>
      </w:tr>
      <w:tr>
        <w:tc>
          <w:tcPr/>
          <w:p>
            <w:pPr>
              <w:pStyle w:val="Compact"/>
              <w:jc w:val="left"/>
            </w:pPr>
            <w:r>
              <w:t xml:space="preserve">5</w:t>
            </w:r>
          </w:p>
        </w:tc>
        <w:tc>
          <w:tcPr/>
          <w:p>
            <w:pPr>
              <w:pStyle w:val="Compact"/>
              <w:jc w:val="left"/>
            </w:pPr>
            <w:r>
              <w:t xml:space="preserve">Internal gypsum plaster (single-coat, 12mm) – ceilings and walls</w:t>
            </w:r>
          </w:p>
        </w:tc>
        <w:tc>
          <w:tcPr/>
          <w:p>
            <w:pPr>
              <w:pStyle w:val="Compact"/>
              <w:jc w:val="left"/>
            </w:pPr>
            <w:r>
              <w:t xml:space="preserve">SQM</w:t>
            </w:r>
          </w:p>
        </w:tc>
        <w:tc>
          <w:tcPr/>
          <w:p>
            <w:pPr>
              <w:pStyle w:val="Compact"/>
              <w:jc w:val="left"/>
            </w:pPr>
            <w:r>
              <w:t xml:space="preserve">4,650</w:t>
            </w:r>
          </w:p>
        </w:tc>
        <w:tc>
          <w:tcPr/>
          <w:p>
            <w:pPr>
              <w:pStyle w:val="Compact"/>
              <w:jc w:val="left"/>
            </w:pPr>
            <w:r>
              <w:t xml:space="preserve">38.00</w:t>
            </w:r>
          </w:p>
        </w:tc>
        <w:tc>
          <w:tcPr/>
          <w:p>
            <w:pPr>
              <w:pStyle w:val="Compact"/>
              <w:jc w:val="left"/>
            </w:pPr>
            <w:r>
              <w:t xml:space="preserve">176,700.00</w:t>
            </w:r>
          </w:p>
        </w:tc>
      </w:tr>
      <w:tr>
        <w:tc>
          <w:tcPr/>
          <w:p>
            <w:pPr>
              <w:pStyle w:val="Compact"/>
              <w:jc w:val="left"/>
            </w:pPr>
            <w:r>
              <w:t xml:space="preserve">6</w:t>
            </w:r>
          </w:p>
        </w:tc>
        <w:tc>
          <w:tcPr/>
          <w:p>
            <w:pPr>
              <w:pStyle w:val="Compact"/>
              <w:jc w:val="left"/>
            </w:pPr>
            <w:r>
              <w:t xml:space="preserve">Mason lintels, sills, and structural brick arches (precast concrete, reinforced)</w:t>
            </w:r>
          </w:p>
        </w:tc>
        <w:tc>
          <w:tcPr/>
          <w:p>
            <w:pPr>
              <w:pStyle w:val="Compact"/>
              <w:jc w:val="left"/>
            </w:pPr>
            <w:r>
              <w:t xml:space="preserve">Nos.</w:t>
            </w:r>
          </w:p>
        </w:tc>
        <w:tc>
          <w:tcPr/>
          <w:p>
            <w:pPr>
              <w:pStyle w:val="Compact"/>
              <w:jc w:val="left"/>
            </w:pPr>
            <w:r>
              <w:t xml:space="preserve">312</w:t>
            </w:r>
          </w:p>
        </w:tc>
        <w:tc>
          <w:tcPr/>
          <w:p>
            <w:pPr>
              <w:pStyle w:val="Compact"/>
              <w:jc w:val="left"/>
            </w:pPr>
            <w:r>
              <w:t xml:space="preserve">145.00</w:t>
            </w:r>
          </w:p>
        </w:tc>
        <w:tc>
          <w:tcPr/>
          <w:p>
            <w:pPr>
              <w:pStyle w:val="Compact"/>
              <w:jc w:val="left"/>
            </w:pPr>
            <w:r>
              <w:t xml:space="preserve">45,240.00</w:t>
            </w:r>
          </w:p>
        </w:tc>
      </w:tr>
      <w:tr>
        <w:tc>
          <w:tcPr/>
          <w:p>
            <w:pPr>
              <w:pStyle w:val="Compact"/>
              <w:jc w:val="left"/>
            </w:pPr>
            <w:r>
              <w:t xml:space="preserve">7</w:t>
            </w:r>
          </w:p>
        </w:tc>
        <w:tc>
          <w:tcPr/>
          <w:p>
            <w:pPr>
              <w:pStyle w:val="Compact"/>
              <w:jc w:val="left"/>
            </w:pPr>
            <w:r>
              <w:t xml:space="preserve">Site preparation, scaffolding, material handling, and Mason crew supervision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8</w:t>
            </w:r>
          </w:p>
        </w:tc>
        <w:tc>
          <w:tcPr/>
          <w:p>
            <w:pPr>
              <w:pStyle w:val="Compact"/>
              <w:jc w:val="left"/>
            </w:pPr>
            <w:r>
              <w:t xml:space="preserve">Waste removal, site housekeeping, and compliance with Abu Dhabi Municipality environmental regulations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gridSpan w:val="5"/>
          </w:tcPr>
          <w:p>
            <w:pPr>
              <w:pStyle w:val="Compact"/>
              <w:jc w:val="right"/>
            </w:pPr>
            <w:r>
              <w:t xml:space="preserve">Subtotal</w:t>
            </w:r>
          </w:p>
        </w:tc>
        <w:tc>
          <w:tcPr/>
          <w:p>
            <w:pPr>
              <w:pStyle w:val="Compact"/>
              <w:jc w:val="left"/>
            </w:pPr>
            <w:r>
              <w:t xml:space="preserve">842,360.00</w:t>
            </w:r>
          </w:p>
        </w:tc>
      </w:tr>
      <w:tr>
        <w:tc>
          <w:tcPr>
            <w:gridSpan w:val="5"/>
          </w:tcPr>
          <w:p>
            <w:pPr>
              <w:pStyle w:val="Compact"/>
              <w:jc w:val="right"/>
            </w:pPr>
            <w:r>
              <w:t xml:space="preserve">VAT @ 5% (United Arab Emirates)</w:t>
            </w:r>
          </w:p>
        </w:tc>
        <w:tc>
          <w:tcPr/>
          <w:p>
            <w:pPr>
              <w:pStyle w:val="Compact"/>
              <w:jc w:val="left"/>
            </w:pPr>
            <w:r>
              <w:t xml:space="preserve">42,118.00</w:t>
            </w:r>
          </w:p>
        </w:tc>
      </w:tr>
      <w:tr>
        <w:tc>
          <w:tcPr>
            <w:gridSpan w:val="5"/>
          </w:tcPr>
          <w:p>
            <w:pPr>
              <w:pStyle w:val="Compact"/>
              <w:jc w:val="right"/>
            </w:pPr>
            <w:r>
              <w:t xml:space="preserve">GRAND TOTAL (AED)</w:t>
            </w:r>
          </w:p>
        </w:tc>
        <w:tc>
          <w:tcPr/>
          <w:p>
            <w:pPr>
              <w:pStyle w:val="Compact"/>
              <w:jc w:val="left"/>
            </w:pPr>
            <w:r>
              <w:t xml:space="preserve">884,478.00</w:t>
            </w:r>
          </w:p>
        </w:tc>
      </w:tr>
    </w:tbl>
    <w:p>
      <w:pPr>
        <w:pStyle w:val="BodyText"/>
      </w:pPr>
      <w:r>
        <w:t xml:space="preserve">All amounts are quoted in United Arab Emirates Dirhams (AED). The 5% Value Added Tax (VAT) is applied in accordance with the Federal Tax Authority regulations of the United Arab Emirates. This Quotation Estimate does not include any municipal connection fees, third-party inspection charges, or costs arising from design changes requested after the commencement of Mason works.</w:t>
      </w:r>
    </w:p>
    <w:bookmarkEnd w:id="22"/>
    <w:bookmarkStart w:id="23" w:name="project-duration-and-milestones"/>
    <w:p>
      <w:pPr>
        <w:pStyle w:val="Heading2"/>
      </w:pPr>
      <w:r>
        <w:t xml:space="preserve">3. Project Duration and Milestones</w:t>
      </w:r>
    </w:p>
    <w:p>
      <w:pPr>
        <w:pStyle w:val="FirstParagraph"/>
      </w:pPr>
      <w:r>
        <w:t xml:space="preserve">The total estimated duration for all Mason works described in this Quotation Estimate is</w:t>
      </w:r>
      <w:r>
        <w:t xml:space="preserve"> </w:t>
      </w:r>
      <w:r>
        <w:rPr>
          <w:bCs/>
          <w:b/>
        </w:rPr>
        <w:t xml:space="preserve">eleven (11) calendar weeks</w:t>
      </w:r>
      <w:r>
        <w:t xml:space="preserve"> </w:t>
      </w:r>
      <w:r>
        <w:t xml:space="preserve">from the date of the Notice to Proceed. The schedule is structured to align with the overall construction programme for Block C in United Arab Emirates Abu Dhabi. Key milestones include: completion of external structural blockwork by Week 4, completion of internal partitions by Week 6, stone cladding installation by Week 9, and final plastering and finishing by Week 11. The Mason crew shall consist of a minimum of 24 skilled workers, 4 foremen, and 1 dedicated site engineer reporting directly to the client's project manager.</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days from the date of issue. Beyond this period, material prices and labour rates may be subject to revision due to market fluctuations in the United Arab Emirates Abu Dhabi construction sector.</w:t>
      </w:r>
    </w:p>
    <w:p>
      <w:pPr>
        <w:numPr>
          <w:ilvl w:val="0"/>
          <w:numId w:val="1001"/>
        </w:numPr>
        <w:pStyle w:val="Compact"/>
      </w:pPr>
      <w:r>
        <w:t xml:space="preserve">Payment terms: 30% advance upon signing of the contract, 40% upon completion of structural Mason works, 20% upon completion of cladding and plastering, and 10% retention released after the 12-month defect liability period.</w:t>
      </w:r>
    </w:p>
    <w:p>
      <w:pPr>
        <w:numPr>
          <w:ilvl w:val="0"/>
          <w:numId w:val="1001"/>
        </w:numPr>
        <w:pStyle w:val="Compact"/>
      </w:pPr>
      <w:r>
        <w:t xml:space="preserve">All Mason work shall be carried out in accordance with BS 5628, UAE Building Code, and Abu Dhabi Municipality specifications. Non-compliant work shall be rectified at the contractor's own cost.</w:t>
      </w:r>
    </w:p>
    <w:p>
      <w:pPr>
        <w:numPr>
          <w:ilvl w:val="0"/>
          <w:numId w:val="1001"/>
        </w:numPr>
        <w:pStyle w:val="Compact"/>
      </w:pPr>
      <w:r>
        <w:t xml:space="preserve">The contractor shall provide all necessary scaffolding, safety equipment, and personal protective gear in compliance with UAE Occupational Safety and Health (OSH) regulations.</w:t>
      </w:r>
    </w:p>
    <w:p>
      <w:pPr>
        <w:numPr>
          <w:ilvl w:val="0"/>
          <w:numId w:val="1001"/>
        </w:numPr>
        <w:pStyle w:val="Compact"/>
      </w:pPr>
      <w:r>
        <w:t xml:space="preserve">Any variation or change order to the scope of Mason work must be agreed in writing prior to execution. The unit rates in this Quotation Estimate shall apply to any additional quantities.</w:t>
      </w:r>
    </w:p>
    <w:p>
      <w:pPr>
        <w:numPr>
          <w:ilvl w:val="0"/>
          <w:numId w:val="1001"/>
        </w:numPr>
        <w:pStyle w:val="Compact"/>
      </w:pPr>
      <w:r>
        <w:t xml:space="preserve">The contractor shall maintain a minimum of AED 2,000,000 in third-party liability insurance and AED 5,000,000 in workers' compensation insurance throughout the project duration in United Arab Emirates Abu Dhabi.</w:t>
      </w:r>
    </w:p>
    <w:p>
      <w:pPr>
        <w:numPr>
          <w:ilvl w:val="0"/>
          <w:numId w:val="1001"/>
        </w:numPr>
        <w:pStyle w:val="Compact"/>
      </w:pPr>
      <w:r>
        <w:t xml:space="preserve">Disputes arising from this Quotation Estimate or the resulting contract shall be resolved through arbitration in Abu Dhabi in accordance with the UAE Federal Arbitration Law.</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Mason services and agrees to the terms, conditions, and pricing outlined herein. This document serves as the basis for the formal construction contract to be executed between both parties for the project located in United Arab Emirates Abu Dhabi.</w:t>
      </w:r>
    </w:p>
    <w:p>
      <w:pPr>
        <w:pStyle w:val="BodyText"/>
      </w:pPr>
      <w:r>
        <w:rPr>
          <w:bCs/>
          <w:b/>
        </w:rPr>
        <w:t xml:space="preserve">For Al Noor Mason &amp; Construction Services LLC</w:t>
      </w:r>
      <w:r>
        <w:br/>
      </w:r>
      <w:r>
        <w:t xml:space="preserve">Name: Eng. Rashid Al Falasi</w:t>
      </w:r>
      <w:r>
        <w:br/>
      </w:r>
      <w:r>
        <w:t xml:space="preserve">Title: General Manager</w:t>
      </w:r>
      <w:r>
        <w:br/>
      </w:r>
      <w:r>
        <w:t xml:space="preserve">Date: _______________</w:t>
      </w:r>
    </w:p>
    <w:p>
      <w:pPr>
        <w:pStyle w:val="BodyText"/>
      </w:pPr>
      <w:r>
        <w:rPr>
          <w:bCs/>
          <w:b/>
        </w:rPr>
        <w:t xml:space="preserve">For Al Maktoum Residential Development FZ</w:t>
      </w:r>
      <w:r>
        <w:br/>
      </w:r>
      <w:r>
        <w:t xml:space="preserve">Name: Eng. Khalid Al Mansoori</w:t>
      </w:r>
      <w:r>
        <w:br/>
      </w:r>
      <w:r>
        <w:t xml:space="preserve">Title: Project Director</w:t>
      </w:r>
      <w:r>
        <w:br/>
      </w:r>
      <w:r>
        <w:t xml:space="preserve">Date: _______________</w:t>
      </w:r>
    </w:p>
    <w:p>
      <w:pPr>
        <w:pStyle w:val="BodyText"/>
      </w:pPr>
      <w:r>
        <w:rPr>
          <w:bCs/>
          <w:b/>
        </w:rPr>
        <w:t xml:space="preserve">Important Notice:</w:t>
      </w:r>
      <w:r>
        <w:t xml:space="preserve"> </w:t>
      </w:r>
      <w:r>
        <w:t xml:space="preserve">This Quotation Estimate is a preliminary pricing document for Mason works and does not constitute a binding contract until a formal agreement is executed by both parties. All specifications referenced herein are subject to final approval by the Abu Dhabi Municipality and the project's supervising consultant. Al Noor Mason &amp; Construction Services LLC reserves the right to revise this Quotation Estimate in the event of significant changes to material availability, regulatory requirements, or site conditions in United Arab Emirates Abu Dhabi.</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United Arab Emirates Abu Dhabi</dc:title>
  <dc:creator/>
  <dc:language>en</dc:language>
  <cp:keywords/>
  <dcterms:created xsi:type="dcterms:W3CDTF">2026-10-10T04:43:10Z</dcterms:created>
  <dcterms:modified xsi:type="dcterms:W3CDTF">2026-10-10T04:43:10Z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