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rPr>
          <w:bCs/>
          <w:b/>
        </w:rPr>
        <w:t xml:space="preserve">Al Noor Mason &amp; Construction Services LLC</w:t>
      </w:r>
    </w:p>
    <w:p>
      <w:pPr>
        <w:pStyle w:val="BodyText"/>
      </w:pPr>
      <w:r>
        <w:t xml:space="preserve">Office 412, Building 7, Al Barsha 1,</w:t>
      </w:r>
      <w:r>
        <w:t xml:space="preserve"> </w:t>
      </w:r>
      <w:r>
        <w:t xml:space="preserve">United Arab Emirates Dubai</w:t>
      </w:r>
    </w:p>
    <w:p>
      <w:pPr>
        <w:pStyle w:val="BodyText"/>
      </w:pPr>
      <w:r>
        <w:t xml:space="preserve">Tel: +971 4 555 0192 | Email: quotes@alnoormason.ae | TRN: 100234567800003</w:t>
      </w:r>
    </w:p>
    <w:bookmarkEnd w:id="20"/>
    <w:p>
      <w:pPr>
        <w:pStyle w:val="BodyText"/>
      </w:pPr>
      <w:r>
        <w:rPr>
          <w:bCs/>
          <w:b/>
        </w:rPr>
        <w:t xml:space="preserve">Quotation No.:</w:t>
      </w:r>
      <w:r>
        <w:t xml:space="preserve"> </w:t>
      </w:r>
      <w:r>
        <w:t xml:space="preserve">QTE-2025-0487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Mr. Khalid Al Mansoori</w:t>
      </w:r>
      <w:r>
        <w:br/>
      </w:r>
      <w:r>
        <w:t xml:space="preserve">Villa 27, Palm Jumeirah</w:t>
      </w:r>
      <w:r>
        <w:br/>
      </w:r>
      <w:r>
        <w:t xml:space="preserve">United Arab Emirates Dubai</w:t>
      </w:r>
      <w:r>
        <w:br/>
      </w:r>
      <w:r>
        <w:rPr>
          <w:bCs/>
          <w:b/>
        </w:rPr>
        <w:t xml:space="preserve">Contact:</w:t>
      </w:r>
      <w:r>
        <w:t xml:space="preserve"> </w:t>
      </w:r>
      <w:r>
        <w:t xml:space="preserve">+971 50 123 4567</w:t>
      </w:r>
    </w:p>
    <w:bookmarkStart w:id="21"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by Al Noor Mason &amp; Construction Services LLC in response to the request from Mr. Khalid Al Mansoori for comprehensive</w:t>
      </w:r>
      <w:r>
        <w:t xml:space="preserve"> </w:t>
      </w:r>
      <w:r>
        <w:t xml:space="preserve">Mason</w:t>
      </w:r>
      <w:r>
        <w:t xml:space="preserve"> </w:t>
      </w:r>
      <w:r>
        <w:t xml:space="preserve">work services at the residential property located on Palm Jumeirah,</w:t>
      </w:r>
      <w:r>
        <w:t xml:space="preserve"> </w:t>
      </w:r>
      <w:r>
        <w:t xml:space="preserve">United Arab Emirates Dubai</w:t>
      </w:r>
      <w:r>
        <w:t xml:space="preserve">. The scope of work encompasses all masonry-related tasks including but not limited to bricklaying, blockwork, plastering, tile installation, and structural repair work as detailed in the itemized breakdown below. All materials and labor comply with the Dubai Municipality building codes and the UAE Civil Defence requirements applicable to the</w:t>
      </w:r>
      <w:r>
        <w:t xml:space="preserve"> </w:t>
      </w:r>
      <w:r>
        <w:t xml:space="preserve">United Arab Emirates Dubai</w:t>
      </w:r>
      <w:r>
        <w:t xml:space="preserve"> </w:t>
      </w:r>
      <w:r>
        <w:t xml:space="preserve">jurisdiction.</w:t>
      </w:r>
    </w:p>
    <w:bookmarkEnd w:id="21"/>
    <w:bookmarkStart w:id="22" w:name="scope-of-work-itemized-costs"/>
    <w:p>
      <w:pPr>
        <w:pStyle w:val="Heading2"/>
      </w:pPr>
      <w:r>
        <w:t xml:space="preserve">2. Scope of Work &amp; Itemized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Supply and lay of 190mm x 90mm x 90mm clay bricks for exterior boundary wall (approx. 45 linear metres, 2.4m height) including cement mortar mix 1:4</w:t>
            </w:r>
          </w:p>
        </w:tc>
        <w:tc>
          <w:tcPr/>
          <w:p>
            <w:pPr>
              <w:pStyle w:val="Compact"/>
              <w:jc w:val="left"/>
            </w:pPr>
            <w:r>
              <w:t xml:space="preserve">Linear Metre</w:t>
            </w:r>
          </w:p>
        </w:tc>
        <w:tc>
          <w:tcPr/>
          <w:p>
            <w:pPr>
              <w:pStyle w:val="Compact"/>
              <w:jc w:val="left"/>
            </w:pPr>
            <w:r>
              <w:t xml:space="preserve">45</w:t>
            </w:r>
          </w:p>
        </w:tc>
        <w:tc>
          <w:tcPr/>
          <w:p>
            <w:pPr>
              <w:pStyle w:val="Compact"/>
              <w:jc w:val="left"/>
            </w:pPr>
            <w:r>
              <w:t xml:space="preserve">385.00</w:t>
            </w:r>
          </w:p>
        </w:tc>
        <w:tc>
          <w:tcPr/>
          <w:p>
            <w:pPr>
              <w:pStyle w:val="Compact"/>
              <w:jc w:val="left"/>
            </w:pPr>
            <w:r>
              <w:t xml:space="preserve">17,325.00</w:t>
            </w:r>
          </w:p>
        </w:tc>
      </w:tr>
      <w:tr>
        <w:tc>
          <w:tcPr/>
          <w:p>
            <w:pPr>
              <w:pStyle w:val="Compact"/>
              <w:jc w:val="left"/>
            </w:pPr>
            <w:r>
              <w:t xml:space="preserve">02</w:t>
            </w:r>
          </w:p>
        </w:tc>
        <w:tc>
          <w:tcPr/>
          <w:p>
            <w:pPr>
              <w:pStyle w:val="Compact"/>
              <w:jc w:val="left"/>
            </w:pPr>
            <w:r>
              <w:t xml:space="preserve">Supply and install 200mm x 200mm x 400mm hollow concrete blocks for internal partition walls (approx. 120 sqm) with 10mm cement mortar</w:t>
            </w:r>
          </w:p>
        </w:tc>
        <w:tc>
          <w:tcPr/>
          <w:p>
            <w:pPr>
              <w:pStyle w:val="Compact"/>
              <w:jc w:val="left"/>
            </w:pPr>
            <w:r>
              <w:t xml:space="preserve">Sqm</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03</w:t>
            </w:r>
          </w:p>
        </w:tc>
        <w:tc>
          <w:tcPr/>
          <w:p>
            <w:pPr>
              <w:pStyle w:val="Compact"/>
              <w:jc w:val="left"/>
            </w:pPr>
            <w:r>
              <w:t xml:space="preserve">Internal plastering (two-coat, 12mm total thickness) on all newly constructed masonry surfaces using gypsum-based plaster</w:t>
            </w:r>
          </w:p>
        </w:tc>
        <w:tc>
          <w:tcPr/>
          <w:p>
            <w:pPr>
              <w:pStyle w:val="Compact"/>
              <w:jc w:val="left"/>
            </w:pPr>
            <w:r>
              <w:t xml:space="preserve">Sqm</w:t>
            </w:r>
          </w:p>
        </w:tc>
        <w:tc>
          <w:tcPr/>
          <w:p>
            <w:pPr>
              <w:pStyle w:val="Compact"/>
              <w:jc w:val="left"/>
            </w:pPr>
            <w:r>
              <w:t xml:space="preserve">280</w:t>
            </w:r>
          </w:p>
        </w:tc>
        <w:tc>
          <w:tcPr/>
          <w:p>
            <w:pPr>
              <w:pStyle w:val="Compact"/>
              <w:jc w:val="left"/>
            </w:pPr>
            <w:r>
              <w:t xml:space="preserve">68.00</w:t>
            </w:r>
          </w:p>
        </w:tc>
        <w:tc>
          <w:tcPr/>
          <w:p>
            <w:pPr>
              <w:pStyle w:val="Compact"/>
              <w:jc w:val="left"/>
            </w:pPr>
            <w:r>
              <w:t xml:space="preserve">19,040.00</w:t>
            </w:r>
          </w:p>
        </w:tc>
      </w:tr>
      <w:tr>
        <w:tc>
          <w:tcPr/>
          <w:p>
            <w:pPr>
              <w:pStyle w:val="Compact"/>
              <w:jc w:val="left"/>
            </w:pPr>
            <w:r>
              <w:t xml:space="preserve">04</w:t>
            </w:r>
          </w:p>
        </w:tc>
        <w:tc>
          <w:tcPr/>
          <w:p>
            <w:pPr>
              <w:pStyle w:val="Compact"/>
              <w:jc w:val="left"/>
            </w:pPr>
            <w:r>
              <w:t xml:space="preserve">External rendering and weatherproofing of boundary wall using polymer-modified cement render (15mm) with anti-alkali primer</w:t>
            </w:r>
          </w:p>
        </w:tc>
        <w:tc>
          <w:tcPr/>
          <w:p>
            <w:pPr>
              <w:pStyle w:val="Compact"/>
              <w:jc w:val="left"/>
            </w:pPr>
            <w:r>
              <w:t xml:space="preserve">Sqm</w:t>
            </w:r>
          </w:p>
        </w:tc>
        <w:tc>
          <w:tcPr/>
          <w:p>
            <w:pPr>
              <w:pStyle w:val="Compact"/>
              <w:jc w:val="left"/>
            </w:pPr>
            <w:r>
              <w:t xml:space="preserve">108</w:t>
            </w:r>
          </w:p>
        </w:tc>
        <w:tc>
          <w:tcPr/>
          <w:p>
            <w:pPr>
              <w:pStyle w:val="Compact"/>
              <w:jc w:val="left"/>
            </w:pPr>
            <w:r>
              <w:t xml:space="preserve">95.00</w:t>
            </w:r>
          </w:p>
        </w:tc>
        <w:tc>
          <w:tcPr/>
          <w:p>
            <w:pPr>
              <w:pStyle w:val="Compact"/>
              <w:jc w:val="left"/>
            </w:pPr>
            <w:r>
              <w:t xml:space="preserve">10,260.00</w:t>
            </w:r>
          </w:p>
        </w:tc>
      </w:tr>
      <w:tr>
        <w:tc>
          <w:tcPr/>
          <w:p>
            <w:pPr>
              <w:pStyle w:val="Compact"/>
              <w:jc w:val="left"/>
            </w:pPr>
            <w:r>
              <w:t xml:space="preserve">05</w:t>
            </w:r>
          </w:p>
        </w:tc>
        <w:tc>
          <w:tcPr/>
          <w:p>
            <w:pPr>
              <w:pStyle w:val="Compact"/>
              <w:jc w:val="left"/>
            </w:pPr>
            <w:r>
              <w:t xml:space="preserve">Supply and fix 600mm x 600mm porcelain floor tiles (Grade A, UAE-sourced) in kitchen and two bathrooms including adhesive, grout, and levelling</w:t>
            </w:r>
          </w:p>
        </w:tc>
        <w:tc>
          <w:tcPr/>
          <w:p>
            <w:pPr>
              <w:pStyle w:val="Compact"/>
              <w:jc w:val="left"/>
            </w:pPr>
            <w:r>
              <w:t xml:space="preserve">Sqm</w:t>
            </w:r>
          </w:p>
        </w:tc>
        <w:tc>
          <w:tcPr/>
          <w:p>
            <w:pPr>
              <w:pStyle w:val="Compact"/>
              <w:jc w:val="left"/>
            </w:pPr>
            <w:r>
              <w:t xml:space="preserve">64</w:t>
            </w:r>
          </w:p>
        </w:tc>
        <w:tc>
          <w:tcPr/>
          <w:p>
            <w:pPr>
              <w:pStyle w:val="Compact"/>
              <w:jc w:val="left"/>
            </w:pPr>
            <w:r>
              <w:t xml:space="preserve">210.00</w:t>
            </w:r>
          </w:p>
        </w:tc>
        <w:tc>
          <w:tcPr/>
          <w:p>
            <w:pPr>
              <w:pStyle w:val="Compact"/>
              <w:jc w:val="left"/>
            </w:pPr>
            <w:r>
              <w:t xml:space="preserve">13,440.00</w:t>
            </w:r>
          </w:p>
        </w:tc>
      </w:tr>
      <w:tr>
        <w:tc>
          <w:tcPr/>
          <w:p>
            <w:pPr>
              <w:pStyle w:val="Compact"/>
              <w:jc w:val="left"/>
            </w:pPr>
            <w:r>
              <w:t xml:space="preserve">06</w:t>
            </w:r>
          </w:p>
        </w:tc>
        <w:tc>
          <w:tcPr/>
          <w:p>
            <w:pPr>
              <w:pStyle w:val="Compact"/>
              <w:jc w:val="left"/>
            </w:pPr>
            <w:r>
              <w:t xml:space="preserve">Supply and fix 300mm x 600mm ceramic wall tiles in kitchen and bathrooms (up to 2.1m height) including adhesive, grout, and corner trims</w:t>
            </w:r>
          </w:p>
        </w:tc>
        <w:tc>
          <w:tcPr/>
          <w:p>
            <w:pPr>
              <w:pStyle w:val="Compact"/>
              <w:jc w:val="left"/>
            </w:pPr>
            <w:r>
              <w:t xml:space="preserve">Sqm</w:t>
            </w:r>
          </w:p>
        </w:tc>
        <w:tc>
          <w:tcPr/>
          <w:p>
            <w:pPr>
              <w:pStyle w:val="Compact"/>
              <w:jc w:val="left"/>
            </w:pPr>
            <w:r>
              <w:t xml:space="preserve">82</w:t>
            </w:r>
          </w:p>
        </w:tc>
        <w:tc>
          <w:tcPr/>
          <w:p>
            <w:pPr>
              <w:pStyle w:val="Compact"/>
              <w:jc w:val="left"/>
            </w:pPr>
            <w:r>
              <w:t xml:space="preserve">175.00</w:t>
            </w:r>
          </w:p>
        </w:tc>
        <w:tc>
          <w:tcPr/>
          <w:p>
            <w:pPr>
              <w:pStyle w:val="Compact"/>
              <w:jc w:val="left"/>
            </w:pPr>
            <w:r>
              <w:t xml:space="preserve">14,350.00</w:t>
            </w:r>
          </w:p>
        </w:tc>
      </w:tr>
      <w:tr>
        <w:tc>
          <w:tcPr/>
          <w:p>
            <w:pPr>
              <w:pStyle w:val="Compact"/>
              <w:jc w:val="left"/>
            </w:pPr>
            <w:r>
              <w:t xml:space="preserve">07</w:t>
            </w:r>
          </w:p>
        </w:tc>
        <w:tc>
          <w:tcPr/>
          <w:p>
            <w:pPr>
              <w:pStyle w:val="Compact"/>
              <w:jc w:val="left"/>
            </w:pPr>
            <w:r>
              <w:t xml:space="preserve">Repair and repoint of existing 15-year-old boundary wall (approx. 30 linear metres) including removal of deteriorated mortar, cleaning, and re-pointing with matching mortar</w:t>
            </w:r>
          </w:p>
        </w:tc>
        <w:tc>
          <w:tcPr/>
          <w:p>
            <w:pPr>
              <w:pStyle w:val="Compact"/>
              <w:jc w:val="left"/>
            </w:pPr>
            <w:r>
              <w:t xml:space="preserve">Linear Metre</w:t>
            </w:r>
          </w:p>
        </w:tc>
        <w:tc>
          <w:tcPr/>
          <w:p>
            <w:pPr>
              <w:pStyle w:val="Compact"/>
              <w:jc w:val="left"/>
            </w:pPr>
            <w:r>
              <w:t xml:space="preserve">30</w:t>
            </w:r>
          </w:p>
        </w:tc>
        <w:tc>
          <w:tcPr/>
          <w:p>
            <w:pPr>
              <w:pStyle w:val="Compact"/>
              <w:jc w:val="left"/>
            </w:pPr>
            <w:r>
              <w:t xml:space="preserve">125.00</w:t>
            </w:r>
          </w:p>
        </w:tc>
        <w:tc>
          <w:tcPr/>
          <w:p>
            <w:pPr>
              <w:pStyle w:val="Compact"/>
              <w:jc w:val="left"/>
            </w:pPr>
            <w:r>
              <w:t xml:space="preserve">3,750.00</w:t>
            </w:r>
          </w:p>
        </w:tc>
      </w:tr>
      <w:tr>
        <w:tc>
          <w:tcPr/>
          <w:p>
            <w:pPr>
              <w:pStyle w:val="Compact"/>
              <w:jc w:val="left"/>
            </w:pPr>
            <w:r>
              <w:t xml:space="preserve">08</w:t>
            </w:r>
          </w:p>
        </w:tc>
        <w:tc>
          <w:tcPr/>
          <w:p>
            <w:pPr>
              <w:pStyle w:val="Compact"/>
              <w:jc w:val="left"/>
            </w:pPr>
            <w:r>
              <w:t xml:space="preserve">Construction of a 3.0m x 2.0m masonry planter box with 200mm concrete base, 190mm brick walls, and internal waterproofing membrane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09</w:t>
            </w:r>
          </w:p>
        </w:tc>
        <w:tc>
          <w:tcPr/>
          <w:p>
            <w:pPr>
              <w:pStyle w:val="Compact"/>
              <w:jc w:val="left"/>
            </w:pPr>
            <w:r>
              <w:t xml:space="preserve">Supply and install 25mm thick precast concrete coping stones on boundary wall top (45 linear metres) with stainless steel fixing pins</w:t>
            </w:r>
          </w:p>
        </w:tc>
        <w:tc>
          <w:tcPr/>
          <w:p>
            <w:pPr>
              <w:pStyle w:val="Compact"/>
              <w:jc w:val="left"/>
            </w:pPr>
            <w:r>
              <w:t xml:space="preserve">Linear Metre</w:t>
            </w:r>
          </w:p>
        </w:tc>
        <w:tc>
          <w:tcPr/>
          <w:p>
            <w:pPr>
              <w:pStyle w:val="Compact"/>
              <w:jc w:val="left"/>
            </w:pPr>
            <w:r>
              <w:t xml:space="preserve">45</w:t>
            </w:r>
          </w:p>
        </w:tc>
        <w:tc>
          <w:tcPr/>
          <w:p>
            <w:pPr>
              <w:pStyle w:val="Compact"/>
              <w:jc w:val="left"/>
            </w:pPr>
            <w:r>
              <w:t xml:space="preserve">165.00</w:t>
            </w:r>
          </w:p>
        </w:tc>
        <w:tc>
          <w:tcPr/>
          <w:p>
            <w:pPr>
              <w:pStyle w:val="Compact"/>
              <w:jc w:val="left"/>
            </w:pPr>
            <w:r>
              <w:t xml:space="preserve">7,425.00</w:t>
            </w:r>
          </w:p>
        </w:tc>
      </w:tr>
      <w:tr>
        <w:tc>
          <w:tcPr/>
          <w:p>
            <w:pPr>
              <w:pStyle w:val="Compact"/>
              <w:jc w:val="left"/>
            </w:pPr>
            <w:r>
              <w:t xml:space="preserve">10</w:t>
            </w:r>
          </w:p>
        </w:tc>
        <w:tc>
          <w:tcPr/>
          <w:p>
            <w:pPr>
              <w:pStyle w:val="Compact"/>
              <w:jc w:val="left"/>
            </w:pPr>
            <w:r>
              <w:t xml:space="preserve">Site cleanup, waste removal to licensed Dubai Municipality disposal facility, and final handover inspection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 (AED)</w:t>
            </w:r>
          </w:p>
        </w:tc>
        <w:tc>
          <w:tcPr/>
          <w:p>
            <w:pPr>
              <w:pStyle w:val="Compact"/>
              <w:jc w:val="left"/>
            </w:pPr>
            <w:r>
              <w:t xml:space="preserve">115,690.00</w:t>
            </w:r>
          </w:p>
        </w:tc>
      </w:tr>
      <w:tr>
        <w:tc>
          <w:tcPr>
            <w:gridSpan w:val="5"/>
          </w:tcPr>
          <w:p>
            <w:pPr>
              <w:pStyle w:val="Compact"/>
              <w:jc w:val="right"/>
            </w:pPr>
            <w:r>
              <w:t xml:space="preserve">VAT @ 5% (UAE Federal Tax Authority)</w:t>
            </w:r>
          </w:p>
        </w:tc>
        <w:tc>
          <w:tcPr/>
          <w:p>
            <w:pPr>
              <w:pStyle w:val="Compact"/>
              <w:jc w:val="left"/>
            </w:pPr>
            <w:r>
              <w:t xml:space="preserve">5,784.50</w:t>
            </w:r>
          </w:p>
        </w:tc>
      </w:tr>
      <w:tr>
        <w:tc>
          <w:tcPr>
            <w:gridSpan w:val="5"/>
          </w:tcPr>
          <w:p>
            <w:pPr>
              <w:pStyle w:val="Compact"/>
              <w:jc w:val="right"/>
            </w:pPr>
            <w:r>
              <w:t xml:space="preserve">GRAND TOTAL (AED)</w:t>
            </w:r>
          </w:p>
        </w:tc>
        <w:tc>
          <w:tcPr/>
          <w:p>
            <w:pPr>
              <w:pStyle w:val="Compact"/>
              <w:jc w:val="left"/>
            </w:pPr>
            <w:r>
              <w:t xml:space="preserve">121,474.50</w:t>
            </w:r>
          </w:p>
        </w:tc>
      </w:tr>
    </w:tbl>
    <w:bookmarkEnd w:id="22"/>
    <w:bookmarkStart w:id="23" w:name="project-timeline"/>
    <w:p>
      <w:pPr>
        <w:pStyle w:val="Heading2"/>
      </w:pPr>
      <w:r>
        <w:t xml:space="preserve">3. Project Timeline</w:t>
      </w:r>
    </w:p>
    <w:p>
      <w:pPr>
        <w:pStyle w:val="FirstParagraph"/>
      </w:pPr>
      <w:r>
        <w:t xml:space="preserve">The estimated duration for completion of all</w:t>
      </w:r>
      <w:r>
        <w:t xml:space="preserve"> </w:t>
      </w:r>
      <w:r>
        <w:t xml:space="preserve">Mason</w:t>
      </w:r>
      <w:r>
        <w:t xml:space="preserve"> </w:t>
      </w:r>
      <w:r>
        <w:t xml:space="preserve">work items listed above is</w:t>
      </w:r>
      <w:r>
        <w:t xml:space="preserve"> </w:t>
      </w:r>
      <w:r>
        <w:rPr>
          <w:bCs/>
          <w:b/>
        </w:rPr>
        <w:t xml:space="preserve">28 working days</w:t>
      </w:r>
      <w:r>
        <w:t xml:space="preserve"> </w:t>
      </w:r>
      <w:r>
        <w:t xml:space="preserve">from the date of site handover and receipt of the first progress payment. The schedule is subject to weather conditions in</w:t>
      </w:r>
      <w:r>
        <w:t xml:space="preserve"> </w:t>
      </w:r>
      <w:r>
        <w:t xml:space="preserve">United Arab Emirates Dubai</w:t>
      </w:r>
      <w:r>
        <w:t xml:space="preserve">, particularly during the summer months when extreme heat may necessitate adjusted working hours (05:00–11:00 and 16:00–20:00) in compliance with the UAE summer work ban regulations.</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thirty (30) calendar days from the date of issue. After the expiry date, pricing may be revised to reflect current material costs in the</w:t>
      </w:r>
      <w:r>
        <w:t xml:space="preserve"> </w:t>
      </w:r>
      <w:r>
        <w:t xml:space="preserve">United Arab Emirates Dubai</w:t>
      </w:r>
      <w:r>
        <w:t xml:space="preserve"> </w:t>
      </w:r>
      <w:r>
        <w:t xml:space="preserve">market.</w:t>
      </w:r>
    </w:p>
    <w:p>
      <w:pPr>
        <w:pStyle w:val="BodyText"/>
      </w:pPr>
      <w:r>
        <w:rPr>
          <w:bCs/>
          <w:b/>
        </w:rPr>
        <w:t xml:space="preserve">4.2</w:t>
      </w:r>
      <w:r>
        <w:t xml:space="preserve"> </w:t>
      </w:r>
      <w:r>
        <w:t xml:space="preserve">Payment terms: 30% advance upon signing, 40% upon completion of structural masonry (Items 01–04), 20% upon completion of tiling (Items 05–06), and 10% upon final handover and client sign-off.</w:t>
      </w:r>
    </w:p>
    <w:p>
      <w:pPr>
        <w:pStyle w:val="BodyText"/>
      </w:pPr>
      <w:r>
        <w:rPr>
          <w:bCs/>
          <w:b/>
        </w:rPr>
        <w:t xml:space="preserve">4.3</w:t>
      </w:r>
      <w:r>
        <w:t xml:space="preserve"> </w:t>
      </w:r>
      <w:r>
        <w:t xml:space="preserve">All</w:t>
      </w:r>
      <w:r>
        <w:t xml:space="preserve"> </w:t>
      </w:r>
      <w:r>
        <w:t xml:space="preserve">Mason</w:t>
      </w:r>
      <w:r>
        <w:t xml:space="preserve"> </w:t>
      </w:r>
      <w:r>
        <w:t xml:space="preserve">work shall be executed by certified and skilled tradesmen employed by Al Noor Mason &amp; Construction Services LLC. The company holds a valid Class A construction trade license issued by the Dubai Department of Economy and Tourism (DET).</w:t>
      </w:r>
    </w:p>
    <w:p>
      <w:pPr>
        <w:pStyle w:val="BodyText"/>
      </w:pPr>
      <w:r>
        <w:rPr>
          <w:bCs/>
          <w:b/>
        </w:rPr>
        <w:t xml:space="preserve">4.4</w:t>
      </w:r>
      <w:r>
        <w:t xml:space="preserve"> </w:t>
      </w:r>
      <w:r>
        <w:t xml:space="preserve">A twelve-month (12-month) workmanship warranty is provided on all masonry, plastering, and tiling works from the date of final acceptance. This warranty does not cover damage caused by structural settlement, natural disasters, or third-party interference.</w:t>
      </w:r>
    </w:p>
    <w:p>
      <w:pPr>
        <w:pStyle w:val="BodyText"/>
      </w:pPr>
      <w:r>
        <w:rPr>
          <w:bCs/>
          <w:b/>
        </w:rPr>
        <w:t xml:space="preserve">4.5</w:t>
      </w:r>
      <w:r>
        <w:t xml:space="preserve"> </w:t>
      </w:r>
      <w:r>
        <w:t xml:space="preserve">The client shall ensure that all necessary permits from Dubai Municipality, DEWA, and any applicable freezone or community management authorities (e.g., Palm Jumeirah Community Management) are obtained prior to commencement of work.</w:t>
      </w:r>
    </w:p>
    <w:p>
      <w:pPr>
        <w:pStyle w:val="BodyText"/>
      </w:pPr>
      <w:r>
        <w:rPr>
          <w:bCs/>
          <w:b/>
        </w:rPr>
        <w:t xml:space="preserve">4.6</w:t>
      </w:r>
      <w:r>
        <w:t xml:space="preserve"> </w:t>
      </w:r>
      <w:r>
        <w:t xml:space="preserve">Any variation or additional work beyond the scope defined in this</w:t>
      </w:r>
      <w:r>
        <w:t xml:space="preserve"> </w:t>
      </w:r>
      <w:r>
        <w:t xml:space="preserve">Quotation Estimate</w:t>
      </w:r>
      <w:r>
        <w:t xml:space="preserve"> </w:t>
      </w:r>
      <w:r>
        <w:t xml:space="preserve">shall be subject to a separate written variation order signed by both parties before execution.</w:t>
      </w:r>
    </w:p>
    <w:p>
      <w:pPr>
        <w:pStyle w:val="BodyText"/>
      </w:pPr>
      <w:r>
        <w:rPr>
          <w:bCs/>
          <w:b/>
        </w:rPr>
        <w:t xml:space="preserve">4.7</w:t>
      </w:r>
      <w:r>
        <w:t xml:space="preserve"> </w:t>
      </w:r>
      <w:r>
        <w:t xml:space="preserve">This agreement shall be governed by the laws of the</w:t>
      </w:r>
      <w:r>
        <w:t xml:space="preserve"> </w:t>
      </w:r>
      <w:r>
        <w:t xml:space="preserve">United Arab Emirates</w:t>
      </w:r>
      <w:r>
        <w:t xml:space="preserve">, and any disputes shall be resolved through the Dubai Courts or by arbitration under the DIFC-LCIA Arbitration Centre rules at the client's election.</w:t>
      </w:r>
    </w:p>
    <w:p>
      <w:pPr>
        <w:pStyle w:val="BodyText"/>
      </w:pPr>
      <w:r>
        <w:rPr>
          <w:bCs/>
          <w:b/>
        </w:rPr>
        <w:t xml:space="preserve">Note:</w:t>
      </w:r>
      <w:r>
        <w:t xml:space="preserve"> </w:t>
      </w:r>
      <w:r>
        <w:t xml:space="preserve">All prices are quoted in United Arab Emirates Dirhams (AED) and are inclusive of all materials, labour, scaffolding, and standard tools. Prices do not include any municipal fees, DEWA connection charges, or community management levies that may be levied by the relevant</w:t>
      </w:r>
      <w:r>
        <w:t xml:space="preserve"> </w:t>
      </w:r>
      <w:r>
        <w:t xml:space="preserve">United Arab Emirates Dubai</w:t>
      </w:r>
      <w:r>
        <w:t xml:space="preserve"> </w:t>
      </w:r>
      <w:r>
        <w:t xml:space="preserve">authorities.</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w:t>
      </w:r>
      <w:r>
        <w:t xml:space="preserve"> </w:t>
      </w:r>
      <w:r>
        <w:t xml:space="preserve">Mason</w:t>
      </w:r>
      <w:r>
        <w:t xml:space="preserve"> </w:t>
      </w:r>
      <w:r>
        <w:t xml:space="preserve">work services to be carried out in</w:t>
      </w:r>
      <w:r>
        <w:t xml:space="preserve"> </w:t>
      </w:r>
      <w:r>
        <w:t xml:space="preserve">United Arab Emirates Dubai</w:t>
      </w:r>
      <w:r>
        <w:t xml:space="preserve">.</w:t>
      </w:r>
    </w:p>
    <w:p>
      <w:pPr>
        <w:pStyle w:val="BodyText"/>
      </w:pPr>
      <w:r>
        <w:rPr>
          <w:bCs/>
          <w:b/>
        </w:rPr>
        <w:t xml:space="preserve">For: Al Noor Mason &amp; Construction Services LLC</w:t>
      </w:r>
      <w:r>
        <w:br/>
      </w:r>
      <w:r>
        <w:t xml:space="preserve">Name: Eng. Rashid Al Farsi</w:t>
      </w:r>
      <w:r>
        <w:br/>
      </w:r>
      <w:r>
        <w:t xml:space="preserve">Title: Project Director</w:t>
      </w:r>
      <w:r>
        <w:br/>
      </w:r>
      <w:r>
        <w:t xml:space="preserve">Date: _______________</w:t>
      </w:r>
    </w:p>
    <w:p>
      <w:pPr>
        <w:pStyle w:val="BodyText"/>
      </w:pPr>
      <w:r>
        <w:rPr>
          <w:bCs/>
          <w:b/>
        </w:rPr>
        <w:t xml:space="preserve">For: Client (Mr. Khalid Al Mansoori)</w:t>
      </w:r>
      <w:r>
        <w:br/>
      </w:r>
      <w:r>
        <w:t xml:space="preserve">Name: _________________________</w:t>
      </w:r>
      <w:r>
        <w:br/>
      </w:r>
      <w:r>
        <w:t xml:space="preserve">Title: Property Owner</w:t>
      </w:r>
      <w:r>
        <w:br/>
      </w:r>
      <w:r>
        <w:t xml:space="preserve">Date: _______________</w:t>
      </w:r>
    </w:p>
    <w:p>
      <w:pPr>
        <w:pStyle w:val="BodyText"/>
      </w:pPr>
      <w:r>
        <w:t xml:space="preserve">Al Noor Mason &amp; Construction Services LLC | Trade License No. 1045872 | Dubai, United Arab Emirates</w:t>
      </w:r>
    </w:p>
    <w:p>
      <w:pPr>
        <w:pStyle w:val="BodyText"/>
      </w:pPr>
      <w:r>
        <w:t xml:space="preserve">This Quotation Estimate document is generated electronically and is valid without a physical stamp.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United Arab Emirates Dubai</dc:title>
  <dc:creator/>
  <dc:language>en</dc:language>
  <cp:keywords/>
  <dcterms:created xsi:type="dcterms:W3CDTF">2026-10-10T08:38:10Z</dcterms:created>
  <dcterms:modified xsi:type="dcterms:W3CDTF">2026-10-10T08:38:10Z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