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Mason</w:t>
      </w:r>
      <w:r>
        <w:t xml:space="preserve"> </w:t>
      </w:r>
      <w:r>
        <w:t xml:space="preserve">Services</w:t>
      </w:r>
      <w:r>
        <w:t xml:space="preserve"> </w:t>
      </w:r>
      <w:r>
        <w:t xml:space="preserve">-</w:t>
      </w:r>
      <w:r>
        <w:t xml:space="preserve"> </w:t>
      </w:r>
      <w:r>
        <w:t xml:space="preserve">United</w:t>
      </w:r>
      <w:r>
        <w:t xml:space="preserve"> </w:t>
      </w:r>
      <w:r>
        <w:t xml:space="preserve">Kingdom</w:t>
      </w:r>
      <w:r>
        <w:t xml:space="preserve"> </w:t>
      </w:r>
      <w:r>
        <w:t xml:space="preserve">Birmingham</w:t>
      </w:r>
    </w:p>
    <w:bookmarkStart w:id="20" w:name="birmingham-mason-stonework-ltd."/>
    <w:p>
      <w:pPr>
        <w:pStyle w:val="Heading1"/>
      </w:pPr>
      <w:r>
        <w:t xml:space="preserve">Birmingham Mason &amp; Stonework Ltd.</w:t>
      </w:r>
    </w:p>
    <w:p>
      <w:pPr>
        <w:pStyle w:val="FirstParagraph"/>
      </w:pPr>
      <w:r>
        <w:t xml:space="preserve">Unit 14, Foundry Lane, Birmingham, B1 2AB, United Kingdom</w:t>
      </w:r>
    </w:p>
    <w:p>
      <w:pPr>
        <w:pStyle w:val="BodyText"/>
      </w:pPr>
      <w:r>
        <w:t xml:space="preserve">Tel: +44 (0)121 456 7890 | Email: enquiries@birminghammason.co.uk</w:t>
      </w:r>
    </w:p>
    <w:p>
      <w:pPr>
        <w:pStyle w:val="BodyText"/>
      </w:pPr>
      <w:r>
        <w:t xml:space="preserve">VAT Registration No: GB 123 4567 89 | Company Reg: 09876543</w:t>
      </w:r>
    </w:p>
    <w:bookmarkEnd w:id="20"/>
    <w:p>
      <w:pPr>
        <w:pStyle w:val="BodyText"/>
      </w:pPr>
      <w:r>
        <w:t xml:space="preserve">Quotation Estimate</w:t>
      </w:r>
    </w:p>
    <w:bookmarkStart w:id="21" w:name="quotation-details"/>
    <w:p>
      <w:pPr>
        <w:pStyle w:val="Heading3"/>
      </w:pPr>
      <w:r>
        <w:t xml:space="preserve">Quotation Details</w:t>
      </w:r>
    </w:p>
    <w:p>
      <w:pPr>
        <w:pStyle w:val="FirstParagraph"/>
      </w:pPr>
      <w:r>
        <w:rPr>
          <w:bCs/>
          <w:b/>
        </w:rPr>
        <w:t xml:space="preserve">Quotation No:</w:t>
      </w:r>
      <w:r>
        <w:t xml:space="preserve"> </w:t>
      </w:r>
      <w:r>
        <w:t xml:space="preserve">QTE-BHM-2025-0472</w:t>
      </w:r>
    </w:p>
    <w:p>
      <w:pPr>
        <w:pStyle w:val="BodyText"/>
      </w:pPr>
      <w:r>
        <w:rPr>
          <w:bCs/>
          <w:b/>
        </w:rPr>
        <w:t xml:space="preserve">Date Issued:</w:t>
      </w:r>
      <w:r>
        <w:t xml:space="preserve"> </w:t>
      </w:r>
      <w:r>
        <w:t xml:space="preserve">14 June 2025</w:t>
      </w:r>
    </w:p>
    <w:p>
      <w:pPr>
        <w:pStyle w:val="BodyText"/>
      </w:pPr>
      <w:r>
        <w:rPr>
          <w:bCs/>
          <w:b/>
        </w:rPr>
        <w:t xml:space="preserve">Valid Until:</w:t>
      </w:r>
      <w:r>
        <w:t xml:space="preserve"> </w:t>
      </w:r>
      <w:r>
        <w:t xml:space="preserve">14 July 2025</w:t>
      </w:r>
    </w:p>
    <w:p>
      <w:pPr>
        <w:pStyle w:val="BodyText"/>
      </w:pPr>
      <w:r>
        <w:rPr>
          <w:bCs/>
          <w:b/>
        </w:rPr>
        <w:t xml:space="preserve">Project Location:</w:t>
      </w:r>
      <w:r>
        <w:t xml:space="preserve"> </w:t>
      </w:r>
      <w:r>
        <w:t xml:space="preserve">United Kingdom Birmingham</w:t>
      </w:r>
    </w:p>
    <w:bookmarkEnd w:id="21"/>
    <w:bookmarkStart w:id="22" w:name="client-information"/>
    <w:p>
      <w:pPr>
        <w:pStyle w:val="Heading3"/>
      </w:pPr>
      <w:r>
        <w:t xml:space="preserve">Client Information</w:t>
      </w:r>
    </w:p>
    <w:p>
      <w:pPr>
        <w:pStyle w:val="FirstParagraph"/>
      </w:pPr>
      <w:r>
        <w:rPr>
          <w:bCs/>
          <w:b/>
        </w:rPr>
        <w:t xml:space="preserve">Client Name:</w:t>
      </w:r>
      <w:r>
        <w:t xml:space="preserve"> </w:t>
      </w:r>
      <w:r>
        <w:t xml:space="preserve">Mr. Jonathan Whitfield</w:t>
      </w:r>
    </w:p>
    <w:p>
      <w:pPr>
        <w:pStyle w:val="BodyText"/>
      </w:pPr>
      <w:r>
        <w:rPr>
          <w:bCs/>
          <w:b/>
        </w:rPr>
        <w:t xml:space="preserve">Address:</w:t>
      </w:r>
      <w:r>
        <w:t xml:space="preserve"> </w:t>
      </w:r>
      <w:r>
        <w:t xml:space="preserve">27 Edgbaston Crescent, Birmingham, B15 2QT</w:t>
      </w:r>
    </w:p>
    <w:p>
      <w:pPr>
        <w:pStyle w:val="BodyText"/>
      </w:pPr>
      <w:r>
        <w:rPr>
          <w:bCs/>
          <w:b/>
        </w:rPr>
        <w:t xml:space="preserve">Tel:</w:t>
      </w:r>
      <w:r>
        <w:t xml:space="preserve"> </w:t>
      </w:r>
      <w:r>
        <w:t xml:space="preserve">+44 (0)7700 900123</w:t>
      </w:r>
    </w:p>
    <w:p>
      <w:pPr>
        <w:pStyle w:val="BodyText"/>
      </w:pPr>
      <w:r>
        <w:rPr>
          <w:bCs/>
          <w:b/>
        </w:rPr>
        <w:t xml:space="preserve">Email:</w:t>
      </w:r>
      <w:r>
        <w:t xml:space="preserve"> </w:t>
      </w:r>
      <w:r>
        <w:t xml:space="preserve">j.whitfield@email.co.uk</w:t>
      </w:r>
    </w:p>
    <w:bookmarkEnd w:id="22"/>
    <w:bookmarkStart w:id="23" w:name="introduction-and-scope-of-work"/>
    <w:p>
      <w:pPr>
        <w:pStyle w:val="Heading2"/>
      </w:pPr>
      <w:r>
        <w:t xml:space="preserve">1. Introduction and Scope of Work</w:t>
      </w:r>
    </w:p>
    <w:p>
      <w:pPr>
        <w:pStyle w:val="FirstParagraph"/>
      </w:pPr>
      <w:r>
        <w:t xml:space="preserve">Thank you for considering Birmingham Mason &amp; Stonework Ltd. for your masonry project. This</w:t>
      </w:r>
      <w:r>
        <w:t xml:space="preserve"> </w:t>
      </w:r>
      <w:r>
        <w:t xml:space="preserve">Quotation Estimate</w:t>
      </w:r>
      <w:r>
        <w:t xml:space="preserve"> </w:t>
      </w:r>
      <w:r>
        <w:t xml:space="preserve">has been prepared specifically for the masonry works required at the above-referenced property in</w:t>
      </w:r>
      <w:r>
        <w:t xml:space="preserve"> </w:t>
      </w:r>
      <w:r>
        <w:t xml:space="preserve">United Kingdom Birmingham</w:t>
      </w:r>
      <w:r>
        <w:t xml:space="preserve">. Our team of qualified</w:t>
      </w:r>
      <w:r>
        <w:t xml:space="preserve"> </w:t>
      </w:r>
      <w:r>
        <w:t xml:space="preserve">Mason</w:t>
      </w:r>
      <w:r>
        <w:t xml:space="preserve"> </w:t>
      </w:r>
      <w:r>
        <w:t xml:space="preserve">craftsmen and stonework specialists will carry out all works in accordance with current Building Regulations for the West Midlands region and in full compliance with the Construction (Design and Management) Regulations 2015.</w:t>
      </w:r>
    </w:p>
    <w:p>
      <w:pPr>
        <w:pStyle w:val="BodyText"/>
      </w:pPr>
      <w:r>
        <w:t xml:space="preserve">The scope of work encompasses the complete restoration and extension of the existing sandstone facade, the construction of a new masonry boundary wall, and the installation of decorative stone features including a carved entrance lintel and two flanking pilasters. All materials will be sourced from approved quarries in the United Kingdom, and all workmanship will be executed by our in-house</w:t>
      </w:r>
      <w:r>
        <w:t xml:space="preserve"> </w:t>
      </w:r>
      <w:r>
        <w:t xml:space="preserve">Mason</w:t>
      </w:r>
      <w:r>
        <w:t xml:space="preserve"> </w:t>
      </w:r>
      <w:r>
        <w:t xml:space="preserve">team with a minimum of fifteen years' experience in traditional and contemporary stonework.</w:t>
      </w:r>
    </w:p>
    <w:bookmarkEnd w:id="23"/>
    <w:bookmarkStart w:id="24" w:name="itemised-cost-breakdown"/>
    <w:p>
      <w:pPr>
        <w:pStyle w:val="Heading2"/>
      </w:pPr>
      <w:r>
        <w:t xml:space="preserve">2. Itemised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Description of Mason Work</w:t>
            </w:r>
          </w:p>
        </w:tc>
        <w:tc>
          <w:tcPr/>
          <w:p>
            <w:pPr>
              <w:pStyle w:val="Compact"/>
              <w:jc w:val="left"/>
            </w:pPr>
            <w:r>
              <w:t xml:space="preserve">Unit</w:t>
            </w:r>
          </w:p>
        </w:tc>
        <w:tc>
          <w:tcPr/>
          <w:p>
            <w:pPr>
              <w:pStyle w:val="Compact"/>
              <w:jc w:val="left"/>
            </w:pPr>
            <w:r>
              <w:t xml:space="preserve">Qty</w:t>
            </w:r>
          </w:p>
        </w:tc>
        <w:tc>
          <w:tcPr/>
          <w:p>
            <w:pPr>
              <w:pStyle w:val="Compact"/>
              <w:jc w:val="left"/>
            </w:pPr>
            <w:r>
              <w:t xml:space="preserve">Rate (GBP)</w:t>
            </w:r>
          </w:p>
        </w:tc>
        <w:tc>
          <w:tcPr/>
          <w:p>
            <w:pPr>
              <w:pStyle w:val="Compact"/>
              <w:jc w:val="left"/>
            </w:pPr>
            <w:r>
              <w:t xml:space="preserve">Amount (GBP)</w:t>
            </w:r>
          </w:p>
        </w:tc>
      </w:tr>
      <w:tr>
        <w:tc>
          <w:tcPr/>
          <w:p>
            <w:pPr>
              <w:pStyle w:val="Compact"/>
              <w:jc w:val="left"/>
            </w:pPr>
            <w:r>
              <w:t xml:space="preserve">01</w:t>
            </w:r>
          </w:p>
        </w:tc>
        <w:tc>
          <w:tcPr/>
          <w:p>
            <w:pPr>
              <w:pStyle w:val="Compact"/>
              <w:jc w:val="left"/>
            </w:pPr>
            <w:r>
              <w:t xml:space="preserve">Removal and disposal of existing damaged sandstone facade panels (approx. 42 m²)</w:t>
            </w:r>
          </w:p>
        </w:tc>
        <w:tc>
          <w:tcPr/>
          <w:p>
            <w:pPr>
              <w:pStyle w:val="Compact"/>
              <w:jc w:val="left"/>
            </w:pPr>
            <w:r>
              <w:t xml:space="preserve">m²</w:t>
            </w:r>
          </w:p>
        </w:tc>
        <w:tc>
          <w:tcPr/>
          <w:p>
            <w:pPr>
              <w:pStyle w:val="Compact"/>
              <w:jc w:val="left"/>
            </w:pPr>
            <w:r>
              <w:t xml:space="preserve">42</w:t>
            </w:r>
          </w:p>
        </w:tc>
        <w:tc>
          <w:tcPr/>
          <w:p>
            <w:pPr>
              <w:pStyle w:val="Compact"/>
              <w:jc w:val="left"/>
            </w:pPr>
            <w:r>
              <w:t xml:space="preserve">38.50</w:t>
            </w:r>
          </w:p>
        </w:tc>
        <w:tc>
          <w:tcPr/>
          <w:p>
            <w:pPr>
              <w:pStyle w:val="Compact"/>
              <w:jc w:val="left"/>
            </w:pPr>
            <w:r>
              <w:t xml:space="preserve">1,617.00</w:t>
            </w:r>
          </w:p>
        </w:tc>
      </w:tr>
      <w:tr>
        <w:tc>
          <w:tcPr/>
          <w:p>
            <w:pPr>
              <w:pStyle w:val="Compact"/>
              <w:jc w:val="left"/>
            </w:pPr>
            <w:r>
              <w:t xml:space="preserve">02</w:t>
            </w:r>
          </w:p>
        </w:tc>
        <w:tc>
          <w:tcPr/>
          <w:p>
            <w:pPr>
              <w:pStyle w:val="Compact"/>
              <w:jc w:val="left"/>
            </w:pPr>
            <w:r>
              <w:t xml:space="preserve">Supply and installation of new Grade II sandstone ashlar blocks, cut and dressed on site by our Mason team</w:t>
            </w:r>
          </w:p>
        </w:tc>
        <w:tc>
          <w:tcPr/>
          <w:p>
            <w:pPr>
              <w:pStyle w:val="Compact"/>
              <w:jc w:val="left"/>
            </w:pPr>
            <w:r>
              <w:t xml:space="preserve">m²</w:t>
            </w:r>
          </w:p>
        </w:tc>
        <w:tc>
          <w:tcPr/>
          <w:p>
            <w:pPr>
              <w:pStyle w:val="Compact"/>
              <w:jc w:val="left"/>
            </w:pPr>
            <w:r>
              <w:t xml:space="preserve">42</w:t>
            </w:r>
          </w:p>
        </w:tc>
        <w:tc>
          <w:tcPr/>
          <w:p>
            <w:pPr>
              <w:pStyle w:val="Compact"/>
              <w:jc w:val="left"/>
            </w:pPr>
            <w:r>
              <w:t xml:space="preserve">285.00</w:t>
            </w:r>
          </w:p>
        </w:tc>
        <w:tc>
          <w:tcPr/>
          <w:p>
            <w:pPr>
              <w:pStyle w:val="Compact"/>
              <w:jc w:val="left"/>
            </w:pPr>
            <w:r>
              <w:t xml:space="preserve">11,970.00</w:t>
            </w:r>
          </w:p>
        </w:tc>
      </w:tr>
      <w:tr>
        <w:tc>
          <w:tcPr/>
          <w:p>
            <w:pPr>
              <w:pStyle w:val="Compact"/>
              <w:jc w:val="left"/>
            </w:pPr>
            <w:r>
              <w:t xml:space="preserve">03</w:t>
            </w:r>
          </w:p>
        </w:tc>
        <w:tc>
          <w:tcPr/>
          <w:p>
            <w:pPr>
              <w:pStyle w:val="Compact"/>
              <w:jc w:val="left"/>
            </w:pPr>
            <w:r>
              <w:t xml:space="preserve">Construction of new masonry boundary wall, 1.8 m high, 14 m long, using local limestone with granite coping</w:t>
            </w:r>
          </w:p>
        </w:tc>
        <w:tc>
          <w:tcPr/>
          <w:p>
            <w:pPr>
              <w:pStyle w:val="Compact"/>
              <w:jc w:val="left"/>
            </w:pPr>
            <w:r>
              <w:t xml:space="preserve">lm</w:t>
            </w:r>
          </w:p>
        </w:tc>
        <w:tc>
          <w:tcPr/>
          <w:p>
            <w:pPr>
              <w:pStyle w:val="Compact"/>
              <w:jc w:val="left"/>
            </w:pPr>
            <w:r>
              <w:t xml:space="preserve">14</w:t>
            </w:r>
          </w:p>
        </w:tc>
        <w:tc>
          <w:tcPr/>
          <w:p>
            <w:pPr>
              <w:pStyle w:val="Compact"/>
              <w:jc w:val="left"/>
            </w:pPr>
            <w:r>
              <w:t xml:space="preserve">420.00</w:t>
            </w:r>
          </w:p>
        </w:tc>
        <w:tc>
          <w:tcPr/>
          <w:p>
            <w:pPr>
              <w:pStyle w:val="Compact"/>
              <w:jc w:val="left"/>
            </w:pPr>
            <w:r>
              <w:t xml:space="preserve">5,880.00</w:t>
            </w:r>
          </w:p>
        </w:tc>
      </w:tr>
      <w:tr>
        <w:tc>
          <w:tcPr/>
          <w:p>
            <w:pPr>
              <w:pStyle w:val="Compact"/>
              <w:jc w:val="left"/>
            </w:pPr>
            <w:r>
              <w:t xml:space="preserve">04</w:t>
            </w:r>
          </w:p>
        </w:tc>
        <w:tc>
          <w:tcPr/>
          <w:p>
            <w:pPr>
              <w:pStyle w:val="Compact"/>
              <w:jc w:val="left"/>
            </w:pPr>
            <w:r>
              <w:t xml:space="preserve">Hand-carved entrance lintel (sandstone, 2.4 m span) with decorative moulding</w:t>
            </w:r>
          </w:p>
        </w:tc>
        <w:tc>
          <w:tcPr/>
          <w:p>
            <w:pPr>
              <w:pStyle w:val="Compact"/>
              <w:jc w:val="left"/>
            </w:pPr>
            <w:r>
              <w:t xml:space="preserve">no</w:t>
            </w:r>
          </w:p>
        </w:tc>
        <w:tc>
          <w:tcPr/>
          <w:p>
            <w:pPr>
              <w:pStyle w:val="Compact"/>
              <w:jc w:val="left"/>
            </w:pPr>
            <w:r>
              <w:t xml:space="preserve">1</w:t>
            </w:r>
          </w:p>
        </w:tc>
        <w:tc>
          <w:tcPr/>
          <w:p>
            <w:pPr>
              <w:pStyle w:val="Compact"/>
              <w:jc w:val="left"/>
            </w:pPr>
            <w:r>
              <w:t xml:space="preserve">3,200.00</w:t>
            </w:r>
          </w:p>
        </w:tc>
        <w:tc>
          <w:tcPr/>
          <w:p>
            <w:pPr>
              <w:pStyle w:val="Compact"/>
              <w:jc w:val="left"/>
            </w:pPr>
            <w:r>
              <w:t xml:space="preserve">3,200.00</w:t>
            </w:r>
          </w:p>
        </w:tc>
      </w:tr>
      <w:tr>
        <w:tc>
          <w:tcPr/>
          <w:p>
            <w:pPr>
              <w:pStyle w:val="Compact"/>
              <w:jc w:val="left"/>
            </w:pPr>
            <w:r>
              <w:t xml:space="preserve">05</w:t>
            </w:r>
          </w:p>
        </w:tc>
        <w:tc>
          <w:tcPr/>
          <w:p>
            <w:pPr>
              <w:pStyle w:val="Compact"/>
              <w:jc w:val="left"/>
            </w:pPr>
            <w:r>
              <w:t xml:space="preserve">Two flanking pilasters (sandstone, 2.6 m high) with carved capitals and bases</w:t>
            </w:r>
          </w:p>
        </w:tc>
        <w:tc>
          <w:tcPr/>
          <w:p>
            <w:pPr>
              <w:pStyle w:val="Compact"/>
              <w:jc w:val="left"/>
            </w:pPr>
            <w:r>
              <w:t xml:space="preserve">no</w:t>
            </w:r>
          </w:p>
        </w:tc>
        <w:tc>
          <w:tcPr/>
          <w:p>
            <w:pPr>
              <w:pStyle w:val="Compact"/>
              <w:jc w:val="left"/>
            </w:pPr>
            <w:r>
              <w:t xml:space="preserve">2</w:t>
            </w:r>
          </w:p>
        </w:tc>
        <w:tc>
          <w:tcPr/>
          <w:p>
            <w:pPr>
              <w:pStyle w:val="Compact"/>
              <w:jc w:val="left"/>
            </w:pPr>
            <w:r>
              <w:t xml:space="preserve">2,450.00</w:t>
            </w:r>
          </w:p>
        </w:tc>
        <w:tc>
          <w:tcPr/>
          <w:p>
            <w:pPr>
              <w:pStyle w:val="Compact"/>
              <w:jc w:val="left"/>
            </w:pPr>
            <w:r>
              <w:t xml:space="preserve">4,900.00</w:t>
            </w:r>
          </w:p>
        </w:tc>
      </w:tr>
      <w:tr>
        <w:tc>
          <w:tcPr/>
          <w:p>
            <w:pPr>
              <w:pStyle w:val="Compact"/>
              <w:jc w:val="left"/>
            </w:pPr>
            <w:r>
              <w:t xml:space="preserve">06</w:t>
            </w:r>
          </w:p>
        </w:tc>
        <w:tc>
          <w:tcPr/>
          <w:p>
            <w:pPr>
              <w:pStyle w:val="Compact"/>
              <w:jc w:val="left"/>
            </w:pPr>
            <w:r>
              <w:t xml:space="preserve">Stone pointing and repointing of all masonry joints using traditional lime mortar (NHL 3.5)</w:t>
            </w:r>
          </w:p>
        </w:tc>
        <w:tc>
          <w:tcPr/>
          <w:p>
            <w:pPr>
              <w:pStyle w:val="Compact"/>
              <w:jc w:val="left"/>
            </w:pPr>
            <w:r>
              <w:t xml:space="preserve">m²</w:t>
            </w:r>
          </w:p>
        </w:tc>
        <w:tc>
          <w:tcPr/>
          <w:p>
            <w:pPr>
              <w:pStyle w:val="Compact"/>
              <w:jc w:val="left"/>
            </w:pPr>
            <w:r>
              <w:t xml:space="preserve">56</w:t>
            </w:r>
          </w:p>
        </w:tc>
        <w:tc>
          <w:tcPr/>
          <w:p>
            <w:pPr>
              <w:pStyle w:val="Compact"/>
              <w:jc w:val="left"/>
            </w:pPr>
            <w:r>
              <w:t xml:space="preserve">22.00</w:t>
            </w:r>
          </w:p>
        </w:tc>
        <w:tc>
          <w:tcPr/>
          <w:p>
            <w:pPr>
              <w:pStyle w:val="Compact"/>
              <w:jc w:val="left"/>
            </w:pPr>
            <w:r>
              <w:t xml:space="preserve">1,232.00</w:t>
            </w:r>
          </w:p>
        </w:tc>
      </w:tr>
      <w:tr>
        <w:tc>
          <w:tcPr/>
          <w:p>
            <w:pPr>
              <w:pStyle w:val="Compact"/>
              <w:jc w:val="left"/>
            </w:pPr>
            <w:r>
              <w:t xml:space="preserve">07</w:t>
            </w:r>
          </w:p>
        </w:tc>
        <w:tc>
          <w:tcPr/>
          <w:p>
            <w:pPr>
              <w:pStyle w:val="Compact"/>
              <w:jc w:val="left"/>
            </w:pPr>
            <w:r>
              <w:t xml:space="preserve">Site preparation, scaffolding, dust extraction, and waste removal for the duration of works in Birmingham</w:t>
            </w:r>
          </w:p>
        </w:tc>
        <w:tc>
          <w:tcPr/>
          <w:p>
            <w:pPr>
              <w:pStyle w:val="Compact"/>
              <w:jc w:val="left"/>
            </w:pPr>
            <w:r>
              <w:t xml:space="preserve">no</w:t>
            </w:r>
          </w:p>
        </w:tc>
        <w:tc>
          <w:tcPr/>
          <w:p>
            <w:pPr>
              <w:pStyle w:val="Compact"/>
              <w:jc w:val="left"/>
            </w:pPr>
            <w:r>
              <w:t xml:space="preserve">1</w:t>
            </w:r>
          </w:p>
        </w:tc>
        <w:tc>
          <w:tcPr/>
          <w:p>
            <w:pPr>
              <w:pStyle w:val="Compact"/>
              <w:jc w:val="left"/>
            </w:pPr>
            <w:r>
              <w:t xml:space="preserve">2,850.00</w:t>
            </w:r>
          </w:p>
        </w:tc>
        <w:tc>
          <w:tcPr/>
          <w:p>
            <w:pPr>
              <w:pStyle w:val="Compact"/>
              <w:jc w:val="left"/>
            </w:pPr>
            <w:r>
              <w:t xml:space="preserve">2,850.00</w:t>
            </w:r>
          </w:p>
        </w:tc>
      </w:tr>
      <w:tr>
        <w:tc>
          <w:tcPr/>
          <w:p>
            <w:pPr>
              <w:pStyle w:val="Compact"/>
              <w:jc w:val="left"/>
            </w:pPr>
            <w:r>
              <w:t xml:space="preserve">08</w:t>
            </w:r>
          </w:p>
        </w:tc>
        <w:tc>
          <w:tcPr/>
          <w:p>
            <w:pPr>
              <w:pStyle w:val="Compact"/>
              <w:jc w:val="left"/>
            </w:pPr>
            <w:r>
              <w:t xml:space="preserve">Project supervision by senior Mason and weekly progress reporting to client</w:t>
            </w:r>
          </w:p>
        </w:tc>
        <w:tc>
          <w:tcPr/>
          <w:p>
            <w:pPr>
              <w:pStyle w:val="Compact"/>
              <w:jc w:val="left"/>
            </w:pPr>
            <w:r>
              <w:t xml:space="preserve">wk</w:t>
            </w:r>
          </w:p>
        </w:tc>
        <w:tc>
          <w:tcPr/>
          <w:p>
            <w:pPr>
              <w:pStyle w:val="Compact"/>
              <w:jc w:val="left"/>
            </w:pPr>
            <w:r>
              <w:t xml:space="preserve">6</w:t>
            </w:r>
          </w:p>
        </w:tc>
        <w:tc>
          <w:tcPr/>
          <w:p>
            <w:pPr>
              <w:pStyle w:val="Compact"/>
              <w:jc w:val="left"/>
            </w:pPr>
            <w:r>
              <w:t xml:space="preserve">450.00</w:t>
            </w:r>
          </w:p>
        </w:tc>
        <w:tc>
          <w:tcPr/>
          <w:p>
            <w:pPr>
              <w:pStyle w:val="Compact"/>
              <w:jc w:val="left"/>
            </w:pPr>
            <w:r>
              <w:t xml:space="preserve">2,700.00</w:t>
            </w:r>
          </w:p>
        </w:tc>
      </w:tr>
      <w:tr>
        <w:tc>
          <w:tcPr/>
          <w:p>
            <w:pPr>
              <w:pStyle w:val="Compact"/>
              <w:jc w:val="left"/>
            </w:pPr>
            <w:r>
              <w:t xml:space="preserve">09</w:t>
            </w:r>
          </w:p>
        </w:tc>
        <w:tc>
          <w:tcPr/>
          <w:p>
            <w:pPr>
              <w:pStyle w:val="Compact"/>
              <w:jc w:val="left"/>
            </w:pPr>
            <w:r>
              <w:t xml:space="preserve">Final stone cleaning, sealing, and protective treatment of all completed masonry surfaces</w:t>
            </w:r>
          </w:p>
        </w:tc>
        <w:tc>
          <w:tcPr/>
          <w:p>
            <w:pPr>
              <w:pStyle w:val="Compact"/>
              <w:jc w:val="left"/>
            </w:pPr>
            <w:r>
              <w:t xml:space="preserve">m²</w:t>
            </w:r>
          </w:p>
        </w:tc>
        <w:tc>
          <w:tcPr/>
          <w:p>
            <w:pPr>
              <w:pStyle w:val="Compact"/>
              <w:jc w:val="left"/>
            </w:pPr>
            <w:r>
              <w:t xml:space="preserve">56</w:t>
            </w:r>
          </w:p>
        </w:tc>
        <w:tc>
          <w:tcPr/>
          <w:p>
            <w:pPr>
              <w:pStyle w:val="Compact"/>
              <w:jc w:val="left"/>
            </w:pPr>
            <w:r>
              <w:t xml:space="preserve">14.50</w:t>
            </w:r>
          </w:p>
        </w:tc>
        <w:tc>
          <w:tcPr/>
          <w:p>
            <w:pPr>
              <w:pStyle w:val="Compact"/>
              <w:jc w:val="left"/>
            </w:pPr>
            <w:r>
              <w:t xml:space="preserve">812.00</w:t>
            </w:r>
          </w:p>
        </w:tc>
      </w:tr>
      <w:tr>
        <w:tc>
          <w:tcPr>
            <w:gridSpan w:val="5"/>
          </w:tcPr>
          <w:p>
            <w:pPr>
              <w:pStyle w:val="Compact"/>
              <w:jc w:val="left"/>
            </w:pPr>
            <w:r>
              <w:t xml:space="preserve">Subtotal (excl. VAT)</w:t>
            </w:r>
          </w:p>
        </w:tc>
        <w:tc>
          <w:tcPr/>
          <w:p>
            <w:pPr>
              <w:pStyle w:val="Compact"/>
              <w:jc w:val="left"/>
            </w:pPr>
            <w:r>
              <w:t xml:space="preserve">35,161.00</w:t>
            </w:r>
          </w:p>
        </w:tc>
      </w:tr>
      <w:tr>
        <w:tc>
          <w:tcPr>
            <w:gridSpan w:val="5"/>
          </w:tcPr>
          <w:p>
            <w:pPr>
              <w:pStyle w:val="Compact"/>
              <w:jc w:val="left"/>
            </w:pPr>
            <w:r>
              <w:t xml:space="preserve">VAT @ 20%</w:t>
            </w:r>
          </w:p>
        </w:tc>
        <w:tc>
          <w:tcPr/>
          <w:p>
            <w:pPr>
              <w:pStyle w:val="Compact"/>
              <w:jc w:val="left"/>
            </w:pPr>
            <w:r>
              <w:t xml:space="preserve">7,032.20</w:t>
            </w:r>
          </w:p>
        </w:tc>
      </w:tr>
      <w:tr>
        <w:tc>
          <w:tcPr>
            <w:gridSpan w:val="5"/>
          </w:tcPr>
          <w:p>
            <w:pPr>
              <w:pStyle w:val="Compact"/>
              <w:jc w:val="left"/>
            </w:pPr>
            <w:r>
              <w:t xml:space="preserve">TOTAL (incl. VAT)</w:t>
            </w:r>
          </w:p>
        </w:tc>
        <w:tc>
          <w:tcPr/>
          <w:p>
            <w:pPr>
              <w:pStyle w:val="Compact"/>
              <w:jc w:val="left"/>
            </w:pPr>
            <w:r>
              <w:t xml:space="preserve">42,193.20</w:t>
            </w:r>
          </w:p>
        </w:tc>
      </w:tr>
    </w:tbl>
    <w:bookmarkEnd w:id="24"/>
    <w:bookmarkStart w:id="25" w:name="programme-and-duration"/>
    <w:p>
      <w:pPr>
        <w:pStyle w:val="Heading2"/>
      </w:pPr>
      <w:r>
        <w:t xml:space="preserve">3. Programme and Duration</w:t>
      </w:r>
    </w:p>
    <w:p>
      <w:pPr>
        <w:pStyle w:val="FirstParagraph"/>
      </w:pPr>
      <w:r>
        <w:t xml:space="preserve">The estimated duration for completion of all masonry works is six (6) calendar weeks from the date of commencement. Works will be scheduled Monday to Friday, 07:30 to 17:30, with no weekend working unless specifically agreed in writing. The programme has been designed to minimise disruption to the client and neighbouring properties in this residential area of Birmingham. Our</w:t>
      </w:r>
      <w:r>
        <w:t xml:space="preserve"> </w:t>
      </w:r>
      <w:r>
        <w:t xml:space="preserve">Mason</w:t>
      </w:r>
      <w:r>
        <w:t xml:space="preserve"> </w:t>
      </w:r>
      <w:r>
        <w:t xml:space="preserve">team will arrive on site by 07:30 each working day and will ensure the site is left in a clean and safe condition at the end of each day.</w:t>
      </w:r>
    </w:p>
    <w:bookmarkEnd w:id="25"/>
    <w:bookmarkStart w:id="26" w:name="payment-schedule"/>
    <w:p>
      <w:pPr>
        <w:pStyle w:val="Heading2"/>
      </w:pPr>
      <w:r>
        <w:t xml:space="preserve">4. Payment Schedule</w:t>
      </w:r>
    </w:p>
    <w:p>
      <w:pPr>
        <w:pStyle w:val="FirstParagraph"/>
      </w:pPr>
      <w:r>
        <w:t xml:space="preserve">Payment for this</w:t>
      </w:r>
      <w:r>
        <w:t xml:space="preserve"> </w:t>
      </w:r>
      <w:r>
        <w:t xml:space="preserve">Quotation Estimate</w:t>
      </w:r>
      <w:r>
        <w:t xml:space="preserve"> </w:t>
      </w:r>
      <w:r>
        <w:t xml:space="preserve">shall be made in the following instalments:</w:t>
      </w:r>
    </w:p>
    <w:p>
      <w:pPr>
        <w:numPr>
          <w:ilvl w:val="0"/>
          <w:numId w:val="1001"/>
        </w:numPr>
        <w:pStyle w:val="Compact"/>
      </w:pPr>
      <w:r>
        <w:rPr>
          <w:bCs/>
          <w:b/>
        </w:rPr>
        <w:t xml:space="preserve">Instalment 1 (30%):</w:t>
      </w:r>
      <w:r>
        <w:t xml:space="preserve"> </w:t>
      </w:r>
      <w:r>
        <w:t xml:space="preserve">GBP 12,657.96 – Due upon acceptance of this Quotation Estimate and prior to commencement of works.</w:t>
      </w:r>
    </w:p>
    <w:p>
      <w:pPr>
        <w:numPr>
          <w:ilvl w:val="0"/>
          <w:numId w:val="1001"/>
        </w:numPr>
        <w:pStyle w:val="Compact"/>
      </w:pPr>
      <w:r>
        <w:rPr>
          <w:bCs/>
          <w:b/>
        </w:rPr>
        <w:t xml:space="preserve">Instalment 2 (40%):</w:t>
      </w:r>
      <w:r>
        <w:t xml:space="preserve"> </w:t>
      </w:r>
      <w:r>
        <w:t xml:space="preserve">GBP 16,877.28 – Due upon completion of the facade restoration and boundary wall (end of Week 4).</w:t>
      </w:r>
    </w:p>
    <w:p>
      <w:pPr>
        <w:numPr>
          <w:ilvl w:val="0"/>
          <w:numId w:val="1001"/>
        </w:numPr>
        <w:pStyle w:val="Compact"/>
      </w:pPr>
      <w:r>
        <w:rPr>
          <w:bCs/>
          <w:b/>
        </w:rPr>
        <w:t xml:space="preserve">Instalment 3 (30%):</w:t>
      </w:r>
      <w:r>
        <w:t xml:space="preserve"> </w:t>
      </w:r>
      <w:r>
        <w:t xml:space="preserve">GBP 12,657.96 – Due upon final completion, handover, and client sign-off.</w:t>
      </w:r>
    </w:p>
    <w:p>
      <w:pPr>
        <w:pStyle w:val="FirstParagraph"/>
      </w:pPr>
      <w:r>
        <w:t xml:space="preserve">All payments are to be made by BACS transfer to the account details provided on the accompanying invoice. A 1.5% late payment charge per month will apply to any outstanding balances in accordance with the Late Payment of Commercial Debts (Interest) Act 1998.</w:t>
      </w:r>
    </w:p>
    <w:bookmarkEnd w:id="26"/>
    <w:bookmarkStart w:id="27" w:name="terms-and-conditions"/>
    <w:p>
      <w:pPr>
        <w:pStyle w:val="Heading2"/>
      </w:pPr>
      <w:r>
        <w:t xml:space="preserve">5. Terms and Conditions</w:t>
      </w:r>
    </w:p>
    <w:p>
      <w:pPr>
        <w:numPr>
          <w:ilvl w:val="0"/>
          <w:numId w:val="1002"/>
        </w:numPr>
        <w:pStyle w:val="Compact"/>
      </w:pPr>
      <w:r>
        <w:t xml:space="preserve">This</w:t>
      </w:r>
      <w:r>
        <w:t xml:space="preserve"> </w:t>
      </w:r>
      <w:r>
        <w:t xml:space="preserve">Quotation Estimate</w:t>
      </w:r>
      <w:r>
        <w:t xml:space="preserve"> </w:t>
      </w:r>
      <w:r>
        <w:t xml:space="preserve">is valid for thirty (30) days from the date of issue. Prices are subject to review after the expiry date due to potential fluctuations in stone material costs.</w:t>
      </w:r>
    </w:p>
    <w:p>
      <w:pPr>
        <w:numPr>
          <w:ilvl w:val="0"/>
          <w:numId w:val="1002"/>
        </w:numPr>
        <w:pStyle w:val="Compact"/>
      </w:pPr>
      <w:r>
        <w:t xml:space="preserve">All masonry works will be carried out by qualified and insured</w:t>
      </w:r>
      <w:r>
        <w:t xml:space="preserve"> </w:t>
      </w:r>
      <w:r>
        <w:t xml:space="preserve">Mason</w:t>
      </w:r>
      <w:r>
        <w:t xml:space="preserve"> </w:t>
      </w:r>
      <w:r>
        <w:t xml:space="preserve">operatives. Our public liability insurance cover is GBP 10,000,000.</w:t>
      </w:r>
    </w:p>
    <w:p>
      <w:pPr>
        <w:numPr>
          <w:ilvl w:val="0"/>
          <w:numId w:val="1002"/>
        </w:numPr>
        <w:pStyle w:val="Compact"/>
      </w:pPr>
      <w:r>
        <w:t xml:space="preserve">The client is responsible for obtaining all necessary planning permissions and building control approvals for works in</w:t>
      </w:r>
      <w:r>
        <w:t xml:space="preserve"> </w:t>
      </w:r>
      <w:r>
        <w:t xml:space="preserve">United Kingdom Birmingham</w:t>
      </w:r>
      <w:r>
        <w:t xml:space="preserve">. Our team will provide technical drawings and specifications to support any planning application.</w:t>
      </w:r>
    </w:p>
    <w:p>
      <w:pPr>
        <w:numPr>
          <w:ilvl w:val="0"/>
          <w:numId w:val="1002"/>
        </w:numPr>
        <w:pStyle w:val="Compact"/>
      </w:pPr>
      <w:r>
        <w:t xml:space="preserve">Any variations or additional works beyond the scope detailed in this Quotation Estimate will be subject to a separate written agreement and additional cost.</w:t>
      </w:r>
    </w:p>
    <w:p>
      <w:pPr>
        <w:numPr>
          <w:ilvl w:val="0"/>
          <w:numId w:val="1002"/>
        </w:numPr>
        <w:pStyle w:val="Compact"/>
      </w:pPr>
      <w:r>
        <w:t xml:space="preserve">A twelve-month workmanship guarantee is provided on all masonry works from the date of practical completion. This does not cover damage caused by neglect, frost damage, or structural movement.</w:t>
      </w:r>
    </w:p>
    <w:p>
      <w:pPr>
        <w:numPr>
          <w:ilvl w:val="0"/>
          <w:numId w:val="1002"/>
        </w:numPr>
        <w:pStyle w:val="Compact"/>
      </w:pPr>
      <w:r>
        <w:t xml:space="preserve">All waste materials generated on site will be disposed of in accordance with UK environmental regulations. A waste transfer note will be provided to the client upon request.</w:t>
      </w:r>
    </w:p>
    <w:p>
      <w:pPr>
        <w:numPr>
          <w:ilvl w:val="0"/>
          <w:numId w:val="1002"/>
        </w:numPr>
        <w:pStyle w:val="Compact"/>
      </w:pPr>
      <w:r>
        <w:t xml:space="preserve">This Quotation Estimate is governed by the laws of England and Wales. Any disputes shall be subject to the exclusive jurisdiction of the courts of Birmingham, United Kingdom.</w:t>
      </w:r>
    </w:p>
    <w:bookmarkEnd w:id="27"/>
    <w:bookmarkStart w:id="28" w:name="acceptance"/>
    <w:p>
      <w:pPr>
        <w:pStyle w:val="Heading2"/>
      </w:pPr>
      <w:r>
        <w:t xml:space="preserve">6. Acceptance</w:t>
      </w:r>
    </w:p>
    <w:p>
      <w:pPr>
        <w:pStyle w:val="FirstParagraph"/>
      </w:pPr>
      <w:r>
        <w:t xml:space="preserve">By signing below, the client confirms acceptance of this</w:t>
      </w:r>
      <w:r>
        <w:t xml:space="preserve"> </w:t>
      </w:r>
      <w:r>
        <w:t xml:space="preserve">Quotation Estimate</w:t>
      </w:r>
      <w:r>
        <w:t xml:space="preserve"> </w:t>
      </w:r>
      <w:r>
        <w:t xml:space="preserve">and authorises Birmingham Mason &amp; Stonework Ltd. to proceed with the masonry works as described. The client acknowledges that all terms and conditions set out herein have been read and understood.</w:t>
      </w:r>
    </w:p>
    <w:p>
      <w:pPr>
        <w:pStyle w:val="BodyText"/>
      </w:pPr>
      <w:r>
        <w:rPr>
          <w:bCs/>
          <w:b/>
        </w:rPr>
        <w:t xml:space="preserve">For and on behalf of Birmingham Mason &amp; Stonework Ltd.</w:t>
      </w:r>
    </w:p>
    <w:p>
      <w:pPr>
        <w:pStyle w:val="BodyText"/>
      </w:pPr>
      <w:r>
        <w:t xml:space="preserve">Name: David R. Hartley, Senior Mason &amp; Director</w:t>
      </w:r>
    </w:p>
    <w:p>
      <w:pPr>
        <w:pStyle w:val="BodyText"/>
      </w:pPr>
      <w:r>
        <w:t xml:space="preserve">Signature: ___________________________</w:t>
      </w:r>
    </w:p>
    <w:p>
      <w:pPr>
        <w:pStyle w:val="BodyText"/>
      </w:pPr>
      <w:r>
        <w:t xml:space="preserve">Date: ___________________________</w:t>
      </w:r>
    </w:p>
    <w:p>
      <w:pPr>
        <w:pStyle w:val="BodyText"/>
      </w:pPr>
      <w:r>
        <w:rPr>
          <w:bCs/>
          <w:b/>
        </w:rPr>
        <w:t xml:space="preserve">Client Acceptance</w:t>
      </w:r>
    </w:p>
    <w:p>
      <w:pPr>
        <w:pStyle w:val="BodyText"/>
      </w:pPr>
      <w:r>
        <w:t xml:space="preserve">Name: Mr. Jonathan Whitfield</w:t>
      </w:r>
    </w:p>
    <w:p>
      <w:pPr>
        <w:pStyle w:val="BodyText"/>
      </w:pPr>
      <w:r>
        <w:t xml:space="preserve">Signature: ___________________________</w:t>
      </w:r>
    </w:p>
    <w:p>
      <w:pPr>
        <w:pStyle w:val="BodyText"/>
      </w:pPr>
      <w:r>
        <w:t xml:space="preserve">Date: ___________________________</w:t>
      </w:r>
    </w:p>
    <w:p>
      <w:pPr>
        <w:pStyle w:val="BodyText"/>
      </w:pPr>
      <w:r>
        <w:t xml:space="preserve">Birmingham Mason &amp; Stonework Ltd. | Unit 14, Foundry Lane, Birmingham, B1 2AB, United Kingdom</w:t>
      </w:r>
    </w:p>
    <w:p>
      <w:pPr>
        <w:pStyle w:val="BodyText"/>
      </w:pPr>
      <w:r>
        <w:t xml:space="preserve">This Quotation Estimate is a confidential document intended solely for the named client. © 2025 Birmingham Mason &amp; Stonework Ltd. All rights reserved.</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GB"/>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Mason Services - United Kingdom Birmingham</dc:title>
  <dc:creator/>
  <dc:language>en-GB</dc:language>
  <cp:keywords/>
  <dcterms:created xsi:type="dcterms:W3CDTF">2026-10-10T02:42:32Z</dcterms:created>
  <dcterms:modified xsi:type="dcterms:W3CDTF">2026-10-10T02:42:32Z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