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33" w:name="quotation-estimate"/>
    <w:p>
      <w:pPr>
        <w:pStyle w:val="Heading1"/>
      </w:pPr>
      <w:r>
        <w:t xml:space="preserve">QUOTATION ESTIMATE</w:t>
      </w:r>
    </w:p>
    <w:p>
      <w:pPr>
        <w:pStyle w:val="FirstParagraph"/>
      </w:pPr>
      <w:r>
        <w:t xml:space="preserve">Masonry &amp; Stonework Services — United States Houston, Texas</w:t>
      </w:r>
    </w:p>
    <w:bookmarkStart w:id="20" w:name="provider"/>
    <w:p>
      <w:pPr>
        <w:pStyle w:val="Heading3"/>
      </w:pPr>
      <w:r>
        <w:t xml:space="preserve">Provider</w:t>
      </w:r>
    </w:p>
    <w:p>
      <w:pPr>
        <w:pStyle w:val="FirstParagraph"/>
      </w:pPr>
      <w:r>
        <w:rPr>
          <w:bCs/>
          <w:b/>
        </w:rPr>
        <w:t xml:space="preserve">Houston Mason &amp; Stoneworks LLC</w:t>
      </w:r>
      <w:r>
        <w:br/>
      </w:r>
      <w:r>
        <w:t xml:space="preserve">4821 Industrial Blvd, Suite 210</w:t>
      </w:r>
      <w:r>
        <w:br/>
      </w:r>
      <w:r>
        <w:t xml:space="preserve">Houston, Texas 77032</w:t>
      </w:r>
      <w:r>
        <w:br/>
      </w:r>
      <w:r>
        <w:t xml:space="preserve">United States</w:t>
      </w:r>
      <w:r>
        <w:br/>
      </w:r>
      <w:r>
        <w:t xml:space="preserve">Phone: (713) 555-0147</w:t>
      </w:r>
      <w:r>
        <w:br/>
      </w:r>
      <w:r>
        <w:t xml:space="preserve">Email: quotes@houstonmasonworks.com</w:t>
      </w:r>
      <w:r>
        <w:br/>
      </w:r>
      <w:r>
        <w:t xml:space="preserve">TX Masonry Contractor License: #MC-2024-8841</w:t>
      </w:r>
    </w:p>
    <w:bookmarkEnd w:id="20"/>
    <w:bookmarkStart w:id="21" w:name="client"/>
    <w:p>
      <w:pPr>
        <w:pStyle w:val="Heading3"/>
      </w:pPr>
      <w:r>
        <w:t xml:space="preserve">Client</w:t>
      </w:r>
    </w:p>
    <w:p>
      <w:pPr>
        <w:pStyle w:val="FirstParagraph"/>
      </w:pPr>
      <w:r>
        <w:rPr>
          <w:bCs/>
          <w:b/>
        </w:rPr>
        <w:t xml:space="preserve">Mr. David R. Thompson</w:t>
      </w:r>
      <w:r>
        <w:br/>
      </w:r>
      <w:r>
        <w:t xml:space="preserve">1247 Cypress Creek Lane</w:t>
      </w:r>
      <w:r>
        <w:br/>
      </w:r>
      <w:r>
        <w:t xml:space="preserve">Houston, Texas 77024</w:t>
      </w:r>
      <w:r>
        <w:br/>
      </w:r>
      <w:r>
        <w:t xml:space="preserve">United States</w:t>
      </w:r>
      <w:r>
        <w:br/>
      </w:r>
      <w:r>
        <w:t xml:space="preserve">Phone: (281) 555-0392</w:t>
      </w:r>
      <w:r>
        <w:br/>
      </w:r>
      <w:r>
        <w:t xml:space="preserve">Email: d.thompson@email.com</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Project Location</w:t>
            </w:r>
          </w:p>
        </w:tc>
      </w:tr>
      <w:tr>
        <w:tc>
          <w:tcPr/>
          <w:p>
            <w:pPr>
              <w:pStyle w:val="Compact"/>
              <w:jc w:val="left"/>
            </w:pPr>
            <w:r>
              <w:t xml:space="preserve">QTE-HOU-2025-00347</w:t>
            </w:r>
          </w:p>
        </w:tc>
        <w:tc>
          <w:tcPr/>
          <w:p>
            <w:pPr>
              <w:pStyle w:val="Compact"/>
              <w:jc w:val="left"/>
            </w:pPr>
            <w:r>
              <w:t xml:space="preserve">June 12, 2025</w:t>
            </w:r>
          </w:p>
        </w:tc>
        <w:tc>
          <w:tcPr/>
          <w:p>
            <w:pPr>
              <w:pStyle w:val="Compact"/>
              <w:jc w:val="left"/>
            </w:pPr>
            <w:r>
              <w:t xml:space="preserve">July 12, 2025 (30 days)</w:t>
            </w:r>
          </w:p>
        </w:tc>
        <w:tc>
          <w:tcPr/>
          <w:p>
            <w:pPr>
              <w:pStyle w:val="Compact"/>
              <w:jc w:val="left"/>
            </w:pPr>
            <w:r>
              <w:t xml:space="preserve">Houston, Texas, United States</w:t>
            </w:r>
          </w:p>
        </w:tc>
      </w:tr>
    </w:tbl>
    <w:bookmarkStart w:id="22" w:name="purpose-of-this-quotation-estimate"/>
    <w:p>
      <w:pPr>
        <w:pStyle w:val="Heading2"/>
      </w:pPr>
      <w:r>
        <w:t xml:space="preserve">1. Purpose of This Quotation Estimate</w:t>
      </w:r>
    </w:p>
    <w:p>
      <w:pPr>
        <w:pStyle w:val="FirstParagraph"/>
      </w:pPr>
      <w:r>
        <w:t xml:space="preserve">This Quotation Estimate is issued by Houston Mason &amp; Stoneworks LLC to provide Mr. David R. Thompson with a comprehensive, itemized cost breakdown for professional masonry services to be performed at the residential property located in Houston, Texas, United States. This document serves as a formal Quotation Estimate and does not constitute a binding contract until both parties have signed and returned the acceptance section at the end of this document. All pricing reflects current market rates for masonry labor and materials in the Houston metropolitan area as of the date of issuance.</w:t>
      </w:r>
    </w:p>
    <w:bookmarkEnd w:id="22"/>
    <w:bookmarkStart w:id="27" w:name="scope-of-mason-work"/>
    <w:p>
      <w:pPr>
        <w:pStyle w:val="Heading2"/>
      </w:pPr>
      <w:r>
        <w:t xml:space="preserve">2. Scope of Mason Work</w:t>
      </w:r>
    </w:p>
    <w:p>
      <w:pPr>
        <w:pStyle w:val="FirstParagraph"/>
      </w:pPr>
      <w:r>
        <w:t xml:space="preserve">The following masonry services have been scoped based on the site inspection conducted on June 5, 2025, at the client's property in Houston, United States. Our licensed Mason team will perform all work in accordance with the International Building Code (IBC), the Texas Department of Insurance (TDI) residential construction standards, and all applicable Houston municipal building codes.</w:t>
      </w:r>
    </w:p>
    <w:bookmarkStart w:id="23" w:name="residential-masonry-wall-construction"/>
    <w:p>
      <w:pPr>
        <w:pStyle w:val="Heading3"/>
      </w:pPr>
      <w:r>
        <w:t xml:space="preserve">2.1 Residential Masonry Wall Construction</w:t>
      </w:r>
    </w:p>
    <w:p>
      <w:pPr>
        <w:pStyle w:val="FirstParagraph"/>
      </w:pPr>
      <w:r>
        <w:t xml:space="preserve">Construction of a 42-foot linear, 8-foot-high CMU (Concrete Masonry Unit) retaining wall along the rear property boundary. The wall will incorporate a 12-inch gravel drainage base, geotextile fabric, and a 4-inch weep hole system at 4-foot intervals. The Mason crew will lay 8-inch x 8-inch x 16-inch CMU blocks using Type S masonry mortar (1:3 cement-to-sand ratio) with vertical and horizontal reinforcement at 4-foot on-center spacing.</w:t>
      </w:r>
    </w:p>
    <w:bookmarkEnd w:id="23"/>
    <w:bookmarkStart w:id="24" w:name="natural-stone-accent-wall"/>
    <w:p>
      <w:pPr>
        <w:pStyle w:val="Heading3"/>
      </w:pPr>
      <w:r>
        <w:t xml:space="preserve">2.2 Natural Stone Accent Wall</w:t>
      </w:r>
    </w:p>
    <w:p>
      <w:pPr>
        <w:pStyle w:val="FirstParagraph"/>
      </w:pPr>
      <w:r>
        <w:t xml:space="preserve">Installation of a 18-foot by 9-foot natural limestone accent wall on the south-facing exterior of the main residence. The Mason will prepare the substrate, apply a polymer-modified thin-set adhesive, and set 2-inch-thick Texas limestone slabs in a running bond pattern. All joints will be finished with a color-matched sanded grout. A penetrating stone sealer will be applied after a 72-hour cure period.</w:t>
      </w:r>
    </w:p>
    <w:bookmarkEnd w:id="24"/>
    <w:bookmarkStart w:id="25" w:name="X6e7fd73b6f8db576660b9d9dea9218924ab2477"/>
    <w:p>
      <w:pPr>
        <w:pStyle w:val="Heading3"/>
      </w:pPr>
      <w:r>
        <w:t xml:space="preserve">2.3 Masonry Chimney Repair and Cap Replacement</w:t>
      </w:r>
    </w:p>
    <w:p>
      <w:pPr>
        <w:pStyle w:val="FirstParagraph"/>
      </w:pPr>
      <w:r>
        <w:t xml:space="preserve">Full tuckpointing of the existing 14-foot brick chimney, removal and replacement of the deteriorated clay chimney cap with a new galvanized steel cap featuring a 3-inch rain collar, and installation of a stainless steel chimney crown. The Mason will also replace 22 damaged firebrick units in the flue lining and apply a high-temperature refractory mortar to all new joints.</w:t>
      </w:r>
    </w:p>
    <w:bookmarkEnd w:id="25"/>
    <w:bookmarkStart w:id="26" w:name="masonry-walkway-and-entry-steps"/>
    <w:p>
      <w:pPr>
        <w:pStyle w:val="Heading3"/>
      </w:pPr>
      <w:r>
        <w:t xml:space="preserve">2.4 Masonry Walkway and Entry Steps</w:t>
      </w:r>
    </w:p>
    <w:p>
      <w:pPr>
        <w:pStyle w:val="FirstParagraph"/>
      </w:pPr>
      <w:r>
        <w:t xml:space="preserve">Construction of a 6-foot-wide, 35-foot-long brick walkway from the driveway to the front entrance, including four (4) masonry entry steps. The Mason will lay 4-inch x 8-inch x 16-inch clay face bricks in a herringbone pattern over a 4-inch compacted crushed limestone base with a 1-inch sand setting bed. All edges will be finished with a 6-inch brick border.</w:t>
      </w:r>
    </w:p>
    <w:bookmarkEnd w:id="26"/>
    <w:bookmarkEnd w:id="27"/>
    <w:bookmarkStart w:id="28"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Work</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Line 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CMU Retaining Wall — labor, blocks, mortar, rebar, drainage system</w:t>
            </w:r>
          </w:p>
        </w:tc>
        <w:tc>
          <w:tcPr/>
          <w:p>
            <w:pPr>
              <w:pStyle w:val="Compact"/>
              <w:jc w:val="left"/>
            </w:pPr>
            <w:r>
              <w:t xml:space="preserve">42 LF</w:t>
            </w:r>
          </w:p>
        </w:tc>
        <w:tc>
          <w:tcPr/>
          <w:p>
            <w:pPr>
              <w:pStyle w:val="Compact"/>
              <w:jc w:val="left"/>
            </w:pPr>
            <w:r>
              <w:t xml:space="preserve">$187.50</w:t>
            </w:r>
          </w:p>
        </w:tc>
        <w:tc>
          <w:tcPr/>
          <w:p>
            <w:pPr>
              <w:pStyle w:val="Compact"/>
              <w:jc w:val="left"/>
            </w:pPr>
            <w:r>
              <w:t xml:space="preserve">$7,875.00</w:t>
            </w:r>
          </w:p>
        </w:tc>
        <w:tc>
          <w:tcPr/>
          <w:p>
            <w:pPr>
              <w:pStyle w:val="Compact"/>
              <w:jc w:val="left"/>
            </w:pPr>
            <w:r>
              <w:t xml:space="preserve">Includes engineering stamp for Houston permit</w:t>
            </w:r>
          </w:p>
        </w:tc>
      </w:tr>
      <w:tr>
        <w:tc>
          <w:tcPr/>
          <w:p>
            <w:pPr>
              <w:pStyle w:val="Compact"/>
              <w:jc w:val="left"/>
            </w:pPr>
            <w:r>
              <w:t xml:space="preserve">2</w:t>
            </w:r>
          </w:p>
        </w:tc>
        <w:tc>
          <w:tcPr/>
          <w:p>
            <w:pPr>
              <w:pStyle w:val="Compact"/>
              <w:jc w:val="left"/>
            </w:pPr>
            <w:r>
              <w:t xml:space="preserve">Natural Limestone Accent Wall — stone, thin-set, grout, sealer</w:t>
            </w:r>
          </w:p>
        </w:tc>
        <w:tc>
          <w:tcPr/>
          <w:p>
            <w:pPr>
              <w:pStyle w:val="Compact"/>
              <w:jc w:val="left"/>
            </w:pPr>
            <w:r>
              <w:t xml:space="preserve">162 SF</w:t>
            </w:r>
          </w:p>
        </w:tc>
        <w:tc>
          <w:tcPr/>
          <w:p>
            <w:pPr>
              <w:pStyle w:val="Compact"/>
              <w:jc w:val="left"/>
            </w:pPr>
            <w:r>
              <w:t xml:space="preserve">$64.00</w:t>
            </w:r>
          </w:p>
        </w:tc>
        <w:tc>
          <w:tcPr/>
          <w:p>
            <w:pPr>
              <w:pStyle w:val="Compact"/>
              <w:jc w:val="left"/>
            </w:pPr>
            <w:r>
              <w:t xml:space="preserve">$10,368.00</w:t>
            </w:r>
          </w:p>
        </w:tc>
        <w:tc>
          <w:tcPr/>
          <w:p>
            <w:pPr>
              <w:pStyle w:val="Compact"/>
              <w:jc w:val="left"/>
            </w:pPr>
            <w:r>
              <w:t xml:space="preserve">Texas limestone, 2-inch slab</w:t>
            </w:r>
          </w:p>
        </w:tc>
      </w:tr>
      <w:tr>
        <w:tc>
          <w:tcPr/>
          <w:p>
            <w:pPr>
              <w:pStyle w:val="Compact"/>
              <w:jc w:val="left"/>
            </w:pPr>
            <w:r>
              <w:t xml:space="preserve">3</w:t>
            </w:r>
          </w:p>
        </w:tc>
        <w:tc>
          <w:tcPr/>
          <w:p>
            <w:pPr>
              <w:pStyle w:val="Compact"/>
              <w:jc w:val="left"/>
            </w:pPr>
            <w:r>
              <w:t xml:space="preserve">Chimney Tuckpointing, Cap &amp; Crown Replacement</w:t>
            </w:r>
          </w:p>
        </w:tc>
        <w:tc>
          <w:tcPr/>
          <w:p>
            <w:pPr>
              <w:pStyle w:val="Compact"/>
              <w:jc w:val="left"/>
            </w:pPr>
            <w:r>
              <w:t xml:space="preserve">1 Unit</w:t>
            </w:r>
          </w:p>
        </w:tc>
        <w:tc>
          <w:tcPr/>
          <w:p>
            <w:pPr>
              <w:pStyle w:val="Compact"/>
              <w:jc w:val="left"/>
            </w:pPr>
            <w:r>
              <w:t xml:space="preserve">$3,250.00</w:t>
            </w:r>
          </w:p>
        </w:tc>
        <w:tc>
          <w:tcPr/>
          <w:p>
            <w:pPr>
              <w:pStyle w:val="Compact"/>
              <w:jc w:val="left"/>
            </w:pPr>
            <w:r>
              <w:t xml:space="preserve">$3,250.00</w:t>
            </w:r>
          </w:p>
        </w:tc>
        <w:tc>
          <w:tcPr/>
          <w:p>
            <w:pPr>
              <w:pStyle w:val="Compact"/>
              <w:jc w:val="left"/>
            </w:pPr>
            <w:r>
              <w:t xml:space="preserve">Includes 22 firebrick replacements</w:t>
            </w:r>
          </w:p>
        </w:tc>
      </w:tr>
      <w:tr>
        <w:tc>
          <w:tcPr/>
          <w:p>
            <w:pPr>
              <w:pStyle w:val="Compact"/>
              <w:jc w:val="left"/>
            </w:pPr>
            <w:r>
              <w:t xml:space="preserve">4</w:t>
            </w:r>
          </w:p>
        </w:tc>
        <w:tc>
          <w:tcPr/>
          <w:p>
            <w:pPr>
              <w:pStyle w:val="Compact"/>
              <w:jc w:val="left"/>
            </w:pPr>
            <w:r>
              <w:t xml:space="preserve">Brick Walkway &amp; Entry Steps — bricks, base, sand, labor</w:t>
            </w:r>
          </w:p>
        </w:tc>
        <w:tc>
          <w:tcPr/>
          <w:p>
            <w:pPr>
              <w:pStyle w:val="Compact"/>
              <w:jc w:val="left"/>
            </w:pPr>
            <w:r>
              <w:t xml:space="preserve">35 LF + 4 steps</w:t>
            </w:r>
          </w:p>
        </w:tc>
        <w:tc>
          <w:tcPr/>
          <w:p>
            <w:pPr>
              <w:pStyle w:val="Compact"/>
              <w:jc w:val="left"/>
            </w:pPr>
            <w:r>
              <w:t xml:space="preserve">$98.00</w:t>
            </w:r>
          </w:p>
        </w:tc>
        <w:tc>
          <w:tcPr/>
          <w:p>
            <w:pPr>
              <w:pStyle w:val="Compact"/>
              <w:jc w:val="left"/>
            </w:pPr>
            <w:r>
              <w:t xml:space="preserve">$3,430.00</w:t>
            </w:r>
          </w:p>
        </w:tc>
        <w:tc>
          <w:tcPr/>
          <w:p>
            <w:pPr>
              <w:pStyle w:val="Compact"/>
              <w:jc w:val="left"/>
            </w:pPr>
            <w:r>
              <w:t xml:space="preserve">Herringbone pattern, clay face brick</w:t>
            </w:r>
          </w:p>
        </w:tc>
      </w:tr>
      <w:tr>
        <w:tc>
          <w:tcPr/>
          <w:p>
            <w:pPr>
              <w:pStyle w:val="Compact"/>
              <w:jc w:val="left"/>
            </w:pPr>
            <w:r>
              <w:t xml:space="preserve">5</w:t>
            </w:r>
          </w:p>
        </w:tc>
        <w:tc>
          <w:tcPr/>
          <w:p>
            <w:pPr>
              <w:pStyle w:val="Compact"/>
              <w:jc w:val="left"/>
            </w:pPr>
            <w:r>
              <w:t xml:space="preserve">Site Preparation, Permits (City of Houston), and Cleanup</w:t>
            </w:r>
          </w:p>
        </w:tc>
        <w:tc>
          <w:tcPr/>
          <w:p>
            <w:pPr>
              <w:pStyle w:val="Compact"/>
              <w:jc w:val="left"/>
            </w:pPr>
            <w:r>
              <w:t xml:space="preserve">1 Unit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TDI and Houston building permits</w:t>
            </w:r>
          </w:p>
        </w:tc>
      </w:tr>
      <w:tr>
        <w:tc>
          <w:tcPr/>
          <w:p>
            <w:pPr>
              <w:pStyle w:val="Compact"/>
              <w:jc w:val="left"/>
            </w:pPr>
            <w:r>
              <w:t xml:space="preserve">6</w:t>
            </w:r>
          </w:p>
        </w:tc>
        <w:tc>
          <w:tcPr/>
          <w:p>
            <w:pPr>
              <w:pStyle w:val="Compact"/>
              <w:jc w:val="left"/>
            </w:pPr>
            <w:r>
              <w:t xml:space="preserve">Waste Removal and Hauling (Houston disposal fees)</w:t>
            </w:r>
          </w:p>
        </w:tc>
        <w:tc>
          <w:tcPr/>
          <w:p>
            <w:pPr>
              <w:pStyle w:val="Compact"/>
              <w:jc w:val="left"/>
            </w:pPr>
            <w:r>
              <w:t xml:space="preserve">1 Unit</w:t>
            </w:r>
          </w:p>
        </w:tc>
        <w:tc>
          <w:tcPr/>
          <w:p>
            <w:pPr>
              <w:pStyle w:val="Compact"/>
              <w:jc w:val="left"/>
            </w:pPr>
            <w:r>
              <w:t xml:space="preserve">$620.00</w:t>
            </w:r>
          </w:p>
        </w:tc>
        <w:tc>
          <w:tcPr/>
          <w:p>
            <w:pPr>
              <w:pStyle w:val="Compact"/>
              <w:jc w:val="left"/>
            </w:pPr>
            <w:r>
              <w:t xml:space="preserve">$620.00</w:t>
            </w:r>
          </w:p>
        </w:tc>
        <w:tc>
          <w:tcPr/>
          <w:p>
            <w:pPr>
              <w:pStyle w:val="Compact"/>
              <w:jc w:val="left"/>
            </w:pPr>
            <w:r>
              <w:t xml:space="preserve">Compliant with Harris County regulations</w:t>
            </w:r>
          </w:p>
        </w:tc>
      </w:tr>
      <w:tr>
        <w:tc>
          <w:tcPr>
            <w:gridSpan w:val="4"/>
          </w:tcPr>
          <w:p>
            <w:pPr>
              <w:pStyle w:val="Compact"/>
              <w:jc w:val="left"/>
            </w:pPr>
            <w:r>
              <w:t xml:space="preserve">Subtotal</w:t>
            </w:r>
          </w:p>
        </w:tc>
        <w:tc>
          <w:tcPr/>
          <w:p>
            <w:pPr>
              <w:pStyle w:val="Compact"/>
              <w:jc w:val="left"/>
            </w:pPr>
            <w:r>
              <w:t xml:space="preserve">$27,393.00</w:t>
            </w:r>
          </w:p>
        </w:tc>
        <w:tc>
          <w:tcPr/>
          <w:p>
            <w:pPr>
              <w:pStyle w:val="Compact"/>
            </w:pPr>
          </w:p>
        </w:tc>
      </w:tr>
      <w:tr>
        <w:tc>
          <w:tcPr>
            <w:gridSpan w:val="4"/>
          </w:tcPr>
          <w:p>
            <w:pPr>
              <w:pStyle w:val="Compact"/>
              <w:jc w:val="left"/>
            </w:pPr>
            <w:r>
              <w:t xml:space="preserve">Texas Sales Tax (8.25% — Harris County, Houston)</w:t>
            </w:r>
          </w:p>
        </w:tc>
        <w:tc>
          <w:tcPr/>
          <w:p>
            <w:pPr>
              <w:pStyle w:val="Compact"/>
              <w:jc w:val="left"/>
            </w:pPr>
            <w:r>
              <w:t xml:space="preserve">$2,259.92</w:t>
            </w:r>
          </w:p>
        </w:tc>
        <w:tc>
          <w:tcPr/>
          <w:p>
            <w:pPr>
              <w:pStyle w:val="Compact"/>
            </w:pPr>
          </w:p>
        </w:tc>
      </w:tr>
      <w:tr>
        <w:tc>
          <w:tcPr>
            <w:gridSpan w:val="4"/>
          </w:tcPr>
          <w:p>
            <w:pPr>
              <w:pStyle w:val="Compact"/>
              <w:jc w:val="left"/>
            </w:pPr>
            <w:r>
              <w:rPr>
                <w:bCs/>
                <w:b/>
              </w:rPr>
              <w:t xml:space="preserve">GRAND TOTAL (USD)</w:t>
            </w:r>
          </w:p>
        </w:tc>
        <w:tc>
          <w:tcPr/>
          <w:p>
            <w:pPr>
              <w:pStyle w:val="Compact"/>
              <w:jc w:val="left"/>
            </w:pPr>
            <w:r>
              <w:rPr>
                <w:bCs/>
                <w:b/>
              </w:rPr>
              <w:t xml:space="preserve">$29,652.92</w:t>
            </w:r>
          </w:p>
        </w:tc>
        <w:tc>
          <w:tcPr/>
          <w:p>
            <w:pPr>
              <w:pStyle w:val="Compact"/>
            </w:pPr>
          </w:p>
        </w:tc>
      </w:tr>
    </w:tbl>
    <w:bookmarkEnd w:id="28"/>
    <w:bookmarkStart w:id="29" w:name="project-timeline"/>
    <w:p>
      <w:pPr>
        <w:pStyle w:val="Heading2"/>
      </w:pPr>
      <w:r>
        <w:t xml:space="preserve">4. Project Timeline</w:t>
      </w:r>
    </w:p>
    <w:p>
      <w:pPr>
        <w:pStyle w:val="FirstParagraph"/>
      </w:pPr>
      <w:r>
        <w:t xml:space="preserve">Subject to favorable Houston weather conditions and timely permit approval from the City of Houston, the Mason crew estimates a total project duration of</w:t>
      </w:r>
      <w:r>
        <w:t xml:space="preserve"> </w:t>
      </w:r>
      <w:r>
        <w:rPr>
          <w:bCs/>
          <w:b/>
        </w:rPr>
        <w:t xml:space="preserve">18 to 22 business days</w:t>
      </w:r>
      <w:r>
        <w:t xml:space="preserve"> </w:t>
      </w:r>
      <w:r>
        <w:t xml:space="preserve">from the date of the first scheduled workday. The CMU retaining wall and walkway will be completed in the first phase (Days 1–10), the limestone accent wall in the second phase (Days 11–16), and the chimney repair in the third phase (Days 17–22). A final walkthrough and punch-list inspection will be conducted with the client on the last day.</w:t>
      </w:r>
    </w:p>
    <w:bookmarkEnd w:id="29"/>
    <w:bookmarkStart w:id="30"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r>
      <w:tr>
        <w:tc>
          <w:tcPr/>
          <w:p>
            <w:pPr>
              <w:pStyle w:val="Compact"/>
              <w:jc w:val="left"/>
            </w:pPr>
            <w:r>
              <w:t xml:space="preserve">Upon signed acceptance of this Quotation Estimate</w:t>
            </w:r>
          </w:p>
        </w:tc>
        <w:tc>
          <w:tcPr/>
          <w:p>
            <w:pPr>
              <w:pStyle w:val="Compact"/>
              <w:jc w:val="left"/>
            </w:pPr>
            <w:r>
              <w:t xml:space="preserve">30%</w:t>
            </w:r>
          </w:p>
        </w:tc>
        <w:tc>
          <w:tcPr/>
          <w:p>
            <w:pPr>
              <w:pStyle w:val="Compact"/>
              <w:jc w:val="left"/>
            </w:pPr>
            <w:r>
              <w:t xml:space="preserve">$8,895.88</w:t>
            </w:r>
          </w:p>
        </w:tc>
      </w:tr>
      <w:tr>
        <w:tc>
          <w:tcPr/>
          <w:p>
            <w:pPr>
              <w:pStyle w:val="Compact"/>
              <w:jc w:val="left"/>
            </w:pPr>
            <w:r>
              <w:t xml:space="preserve">Upon completion of Phase 1 (Retaining Wall &amp; Walkway)</w:t>
            </w:r>
          </w:p>
        </w:tc>
        <w:tc>
          <w:tcPr/>
          <w:p>
            <w:pPr>
              <w:pStyle w:val="Compact"/>
              <w:jc w:val="left"/>
            </w:pPr>
            <w:r>
              <w:t xml:space="preserve">30%</w:t>
            </w:r>
          </w:p>
        </w:tc>
        <w:tc>
          <w:tcPr/>
          <w:p>
            <w:pPr>
              <w:pStyle w:val="Compact"/>
              <w:jc w:val="left"/>
            </w:pPr>
            <w:r>
              <w:t xml:space="preserve">$8,895.88</w:t>
            </w:r>
          </w:p>
        </w:tc>
      </w:tr>
      <w:tr>
        <w:tc>
          <w:tcPr/>
          <w:p>
            <w:pPr>
              <w:pStyle w:val="Compact"/>
              <w:jc w:val="left"/>
            </w:pPr>
            <w:r>
              <w:t xml:space="preserve">Upon completion of Phase 2 (Limestone Wall)</w:t>
            </w:r>
          </w:p>
        </w:tc>
        <w:tc>
          <w:tcPr/>
          <w:p>
            <w:pPr>
              <w:pStyle w:val="Compact"/>
              <w:jc w:val="left"/>
            </w:pPr>
            <w:r>
              <w:t xml:space="preserve">25%</w:t>
            </w:r>
          </w:p>
        </w:tc>
        <w:tc>
          <w:tcPr/>
          <w:p>
            <w:pPr>
              <w:pStyle w:val="Compact"/>
              <w:jc w:val="left"/>
            </w:pPr>
            <w:r>
              <w:t xml:space="preserve">$7,413.23</w:t>
            </w:r>
          </w:p>
        </w:tc>
      </w:tr>
      <w:tr>
        <w:tc>
          <w:tcPr/>
          <w:p>
            <w:pPr>
              <w:pStyle w:val="Compact"/>
              <w:jc w:val="left"/>
            </w:pPr>
            <w:r>
              <w:t xml:space="preserve">Upon final inspection and punch-list sign-off</w:t>
            </w:r>
          </w:p>
        </w:tc>
        <w:tc>
          <w:tcPr/>
          <w:p>
            <w:pPr>
              <w:pStyle w:val="Compact"/>
              <w:jc w:val="left"/>
            </w:pPr>
            <w:r>
              <w:t xml:space="preserve">15%</w:t>
            </w:r>
          </w:p>
        </w:tc>
        <w:tc>
          <w:tcPr/>
          <w:p>
            <w:pPr>
              <w:pStyle w:val="Compact"/>
              <w:jc w:val="left"/>
            </w:pPr>
            <w:r>
              <w:t xml:space="preserve">$4,447.93</w:t>
            </w:r>
          </w:p>
        </w:tc>
      </w:tr>
    </w:tbl>
    <w:bookmarkEnd w:id="30"/>
    <w:bookmarkStart w:id="31" w:name="terms-and-conditions"/>
    <w:p>
      <w:pPr>
        <w:pStyle w:val="Heading2"/>
      </w:pPr>
      <w:r>
        <w:t xml:space="preserve">6. Terms and Conditions</w:t>
      </w:r>
    </w:p>
    <w:p>
      <w:pPr>
        <w:pStyle w:val="FirstParagraph"/>
      </w:pPr>
      <w:r>
        <w:rPr>
          <w:bCs/>
          <w:b/>
        </w:rPr>
        <w:t xml:space="preserve">6.1</w:t>
      </w:r>
      <w:r>
        <w:t xml:space="preserve"> </w:t>
      </w:r>
      <w:r>
        <w:t xml:space="preserve">This Quotation Estimate is valid for thirty (30) calendar days from the date of issuance. After the expiration date, all material and labor prices are subject to revision based on current Houston market conditions.</w:t>
      </w:r>
    </w:p>
    <w:p>
      <w:pPr>
        <w:pStyle w:val="BodyText"/>
      </w:pPr>
      <w:r>
        <w:rPr>
          <w:bCs/>
          <w:b/>
        </w:rPr>
        <w:t xml:space="preserve">6.2</w:t>
      </w:r>
      <w:r>
        <w:t xml:space="preserve"> </w:t>
      </w:r>
      <w:r>
        <w:t xml:space="preserve">All masonry work will be performed by a licensed and insured Mason crew. Houston Mason &amp; Stoneworks LLC carries $2,000,000 general liability insurance and $1,000,000 workers' compensation coverage, compliant with Texas state requirements.</w:t>
      </w:r>
    </w:p>
    <w:p>
      <w:pPr>
        <w:pStyle w:val="BodyText"/>
      </w:pPr>
      <w:r>
        <w:rPr>
          <w:bCs/>
          <w:b/>
        </w:rPr>
        <w:t xml:space="preserve">6.3</w:t>
      </w:r>
      <w:r>
        <w:t xml:space="preserve"> </w:t>
      </w:r>
      <w:r>
        <w:t xml:space="preserve">The client is responsible for obtaining any additional permits not listed in this Quotation Estimate. Our team will assist with the City of Houston permit application process at no additional charge.</w:t>
      </w:r>
    </w:p>
    <w:p>
      <w:pPr>
        <w:pStyle w:val="BodyText"/>
      </w:pPr>
      <w:r>
        <w:rPr>
          <w:bCs/>
          <w:b/>
        </w:rPr>
        <w:t xml:space="preserve">6.4</w:t>
      </w:r>
      <w:r>
        <w:t xml:space="preserve"> </w:t>
      </w:r>
      <w:r>
        <w:t xml:space="preserve">All masonry work carries a</w:t>
      </w:r>
      <w:r>
        <w:t xml:space="preserve"> </w:t>
      </w:r>
      <w:r>
        <w:rPr>
          <w:bCs/>
          <w:b/>
        </w:rPr>
        <w:t xml:space="preserve">five (5) year workmanship warranty</w:t>
      </w:r>
      <w:r>
        <w:t xml:space="preserve"> </w:t>
      </w:r>
      <w:r>
        <w:t xml:space="preserve">from the date of final sign-off. This warranty covers defects in the Mason's labor, including but not limited to mortar joint failure, block displacement, and stone adhesion issues. It does not cover damage caused by natural disasters (including Houston-area hurricanes, flooding, or extreme heat events), third-party damage, or normal weathering.</w:t>
      </w:r>
    </w:p>
    <w:p>
      <w:pPr>
        <w:pStyle w:val="BodyText"/>
      </w:pPr>
      <w:r>
        <w:rPr>
          <w:bCs/>
          <w:b/>
        </w:rPr>
        <w:t xml:space="preserve">6.5</w:t>
      </w:r>
      <w:r>
        <w:t xml:space="preserve"> </w:t>
      </w:r>
      <w:r>
        <w:t xml:space="preserve">Work will be performed Monday through Friday, 7:00 AM to 5:00 PM, local Houston time. No work will be performed on federal holidays. The Mason crew will maintain a clean and safe job site in accordance with OSHA standards.</w:t>
      </w:r>
    </w:p>
    <w:p>
      <w:pPr>
        <w:pStyle w:val="BodyText"/>
      </w:pPr>
      <w:r>
        <w:rPr>
          <w:bCs/>
          <w:b/>
        </w:rPr>
        <w:t xml:space="preserve">6.6</w:t>
      </w:r>
      <w:r>
        <w:t xml:space="preserve"> </w:t>
      </w:r>
      <w:r>
        <w:t xml:space="preserve">Any changes to the scope of work must be documented in a written Change Order signed by both parties before additional masonry work begins. The Quotation Estimate total will be adjusted accordingly.</w:t>
      </w:r>
    </w:p>
    <w:p>
      <w:pPr>
        <w:pStyle w:val="BodyText"/>
      </w:pPr>
      <w:r>
        <w:rPr>
          <w:bCs/>
          <w:b/>
        </w:rPr>
        <w:t xml:space="preserve">6.7</w:t>
      </w:r>
      <w:r>
        <w:t xml:space="preserve"> </w:t>
      </w:r>
      <w:r>
        <w:t xml:space="preserve">This Quotation Estimate is governed by the laws of the State of Texas. Any disputes arising from this agreement shall be resolved in the courts of Harris County, Houston, Texas, United States.</w:t>
      </w:r>
    </w:p>
    <w:bookmarkEnd w:id="31"/>
    <w:bookmarkStart w:id="32" w:name="acceptance"/>
    <w:p>
      <w:pPr>
        <w:pStyle w:val="Heading2"/>
      </w:pPr>
      <w:r>
        <w:t xml:space="preserve">7. Acceptance</w:t>
      </w:r>
    </w:p>
    <w:p>
      <w:pPr>
        <w:pStyle w:val="FirstParagraph"/>
      </w:pPr>
      <w:r>
        <w:t xml:space="preserve">By signing below, the client acknowledges receipt of this Quotation Estimate for masonry services in Houston, United States, and agrees to the terms, conditions, pricing, and timeline outlined herein. This signature authorizes Houston Mason &amp; Stoneworks LLC to proceed with scheduling and procurement upon receipt of the initial 30% deposit.</w:t>
      </w:r>
    </w:p>
    <w:p>
      <w:pPr>
        <w:pStyle w:val="BodyText"/>
      </w:pPr>
      <w:r>
        <w:t xml:space="preserve">Client Signature — Mr. David R. Thompson</w:t>
      </w:r>
    </w:p>
    <w:p>
      <w:pPr>
        <w:pStyle w:val="BodyText"/>
      </w:pPr>
      <w:r>
        <w:t xml:space="preserve">Date</w:t>
      </w:r>
    </w:p>
    <w:p>
      <w:pPr>
        <w:pStyle w:val="BodyText"/>
      </w:pPr>
      <w:r>
        <w:t xml:space="preserve">Authorized Mason Representative — Houston Mason &amp; Stoneworks LLC</w:t>
      </w:r>
    </w:p>
    <w:p>
      <w:pPr>
        <w:pStyle w:val="BodyText"/>
      </w:pPr>
      <w:r>
        <w:t xml:space="preserve">Date</w:t>
      </w:r>
    </w:p>
    <w:p>
      <w:pPr>
        <w:pStyle w:val="BodyText"/>
      </w:pPr>
      <w:r>
        <w:t xml:space="preserve">Houston Mason &amp; Stoneworks LLC • 4821 Industrial Blvd, Suite 210, Houston, TX 77032, United States</w:t>
      </w:r>
      <w:r>
        <w:br/>
      </w:r>
      <w:r>
        <w:t xml:space="preserve">Quotation Estimate No. QTE-HOU-2025-00347 • Issued June 12, 2025 • This document is confidential and intended solely for the named client.</w:t>
      </w:r>
      <w:r>
        <w:br/>
      </w:r>
      <w:r>
        <w:t xml:space="preserve">All prices are in United States Dollars (USD). This Quotation Estimate does not constitute a binding contract until countersigned by both parties.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United States Houston</dc:title>
  <dc:creator/>
  <dc:language>en</dc:language>
  <cp:keywords/>
  <dcterms:created xsi:type="dcterms:W3CDTF">2026-10-10T01:57:37Z</dcterms:created>
  <dcterms:modified xsi:type="dcterms:W3CDTF">2026-10-10T01:57:37Z</dcterms:modified>
</cp:coreProperties>
</file>

<file path=docProps/custom.xml><?xml version="1.0" encoding="utf-8"?>
<Properties xmlns="http://schemas.openxmlformats.org/officeDocument/2006/custom-properties" xmlns:vt="http://schemas.openxmlformats.org/officeDocument/2006/docPropsVTypes"/>
</file>