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Professional Mason Services &amp; Construction Works</w:t>
      </w:r>
    </w:p>
    <w:p>
      <w:pPr>
        <w:pStyle w:val="BodyText"/>
      </w:pPr>
      <w:r>
        <w:t xml:space="preserve">Uzbekistan Tashkent | Republic of Uzbekistan</w:t>
      </w:r>
    </w:p>
    <w:bookmarkEnd w:id="20"/>
    <w:p>
      <w:pPr>
        <w:pStyle w:val="BodyText"/>
      </w:pPr>
      <w:r>
        <w:rPr>
          <w:bCs/>
          <w:b/>
        </w:rPr>
        <w:t xml:space="preserve">Quotation No.:</w:t>
      </w:r>
      <w:r>
        <w:t xml:space="preserve"> </w:t>
      </w:r>
      <w:r>
        <w:t xml:space="preserve">QTE-TSK-2025-0487</w:t>
      </w:r>
      <w:r>
        <w:t xml:space="preserve"> </w:t>
      </w:r>
      <w:r>
        <w:rPr>
          <w:bCs/>
          <w:b/>
        </w:rPr>
        <w:t xml:space="preserve">Date of Issue:</w:t>
      </w:r>
      <w:r>
        <w:t xml:space="preserve"> </w:t>
      </w:r>
      <w:r>
        <w:t xml:space="preserve">15 June 2025</w:t>
      </w:r>
      <w:r>
        <w:t xml:space="preserve"> </w:t>
      </w:r>
      <w:r>
        <w:rPr>
          <w:bCs/>
          <w:b/>
        </w:rPr>
        <w:t xml:space="preserve">Validity Period:</w:t>
      </w:r>
      <w:r>
        <w:t xml:space="preserve"> </w:t>
      </w:r>
      <w:r>
        <w:t xml:space="preserve">30 Days</w:t>
      </w:r>
    </w:p>
    <w:p>
      <w:pPr>
        <w:pStyle w:val="BodyText"/>
      </w:pPr>
      <w:r>
        <w:rPr>
          <w:bCs/>
          <w:b/>
        </w:rPr>
        <w:t xml:space="preserve">Prepared By:</w:t>
      </w:r>
      <w:r>
        <w:t xml:space="preserve"> </w:t>
      </w:r>
      <w:r>
        <w:t xml:space="preserve">Tashkent Mason &amp; Construction Co.</w:t>
      </w:r>
      <w:r>
        <w:t xml:space="preserve"> </w:t>
      </w:r>
      <w:r>
        <w:rPr>
          <w:bCs/>
          <w:b/>
        </w:rPr>
        <w:t xml:space="preserve">Address:</w:t>
      </w:r>
      <w:r>
        <w:t xml:space="preserve"> </w:t>
      </w:r>
      <w:r>
        <w:t xml:space="preserve">42 Amir Temur Avenue, Tashkent, Uzbekistan</w:t>
      </w:r>
      <w:r>
        <w:t xml:space="preserve"> </w:t>
      </w:r>
      <w:r>
        <w:rPr>
          <w:bCs/>
          <w:b/>
        </w:rPr>
        <w:t xml:space="preserve">Contact:</w:t>
      </w:r>
      <w:r>
        <w:t xml:space="preserve"> </w:t>
      </w:r>
      <w:r>
        <w:t xml:space="preserve">+998 71 200 4567 | info@tashkentmason.uz</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Uzbekistan National Development Authority</w:t>
            </w:r>
          </w:p>
        </w:tc>
      </w:tr>
      <w:tr>
        <w:tc>
          <w:tcPr/>
          <w:p>
            <w:pPr>
              <w:pStyle w:val="Compact"/>
              <w:jc w:val="left"/>
            </w:pPr>
            <w:r>
              <w:rPr>
                <w:bCs/>
                <w:b/>
              </w:rPr>
              <w:t xml:space="preserve">Project Location:</w:t>
            </w:r>
          </w:p>
        </w:tc>
        <w:tc>
          <w:tcPr/>
          <w:p>
            <w:pPr>
              <w:pStyle w:val="Compact"/>
              <w:jc w:val="left"/>
            </w:pPr>
            <w:r>
              <w:t xml:space="preserve">Chilonzor District, Tashkent, Uzbekistan</w:t>
            </w:r>
          </w:p>
        </w:tc>
      </w:tr>
      <w:tr>
        <w:tc>
          <w:tcPr/>
          <w:p>
            <w:pPr>
              <w:pStyle w:val="Compact"/>
              <w:jc w:val="left"/>
            </w:pPr>
            <w:r>
              <w:rPr>
                <w:bCs/>
                <w:b/>
              </w:rPr>
              <w:t xml:space="preserve">Project Reference:</w:t>
            </w:r>
          </w:p>
        </w:tc>
        <w:tc>
          <w:tcPr/>
          <w:p>
            <w:pPr>
              <w:pStyle w:val="Compact"/>
              <w:jc w:val="left"/>
            </w:pPr>
            <w:r>
              <w:t xml:space="preserve">Residential Complex – Phase II Masonry Works</w:t>
            </w:r>
          </w:p>
        </w:tc>
      </w:tr>
      <w:tr>
        <w:tc>
          <w:tcPr/>
          <w:p>
            <w:pPr>
              <w:pStyle w:val="Compact"/>
              <w:jc w:val="left"/>
            </w:pPr>
            <w:r>
              <w:rPr>
                <w:bCs/>
                <w:b/>
              </w:rPr>
              <w:t xml:space="preserve">Point of Contact:</w:t>
            </w:r>
          </w:p>
        </w:tc>
        <w:tc>
          <w:tcPr/>
          <w:p>
            <w:pPr>
              <w:pStyle w:val="Compact"/>
              <w:jc w:val="left"/>
            </w:pPr>
            <w:r>
              <w:t xml:space="preserve">Mr. Rustam Karimov, Project Director</w:t>
            </w:r>
          </w:p>
        </w:tc>
      </w:tr>
    </w:tbl>
    <w:bookmarkEnd w:id="21"/>
    <w:bookmarkStart w:id="22" w:name="scope-of-work-mason-services"/>
    <w:p>
      <w:pPr>
        <w:pStyle w:val="Heading2"/>
      </w:pPr>
      <w:r>
        <w:t xml:space="preserve">2. Scope of Work – Mason Services</w:t>
      </w:r>
    </w:p>
    <w:p>
      <w:pPr>
        <w:pStyle w:val="FirstParagraph"/>
      </w:pPr>
      <w:r>
        <w:t xml:space="preserve">This</w:t>
      </w:r>
      <w:r>
        <w:t xml:space="preserve"> </w:t>
      </w:r>
      <w:r>
        <w:t xml:space="preserve">Quotation Estimate</w:t>
      </w:r>
      <w:r>
        <w:t xml:space="preserve"> </w:t>
      </w:r>
      <w:r>
        <w:t xml:space="preserve">is issued by Tashkent Mason &amp; Construction Co. to provide a comprehensive and itemized cost breakdown for all</w:t>
      </w:r>
      <w:r>
        <w:t xml:space="preserve"> </w:t>
      </w:r>
      <w:r>
        <w:t xml:space="preserve">Mason</w:t>
      </w:r>
      <w:r>
        <w:t xml:space="preserve"> </w:t>
      </w:r>
      <w:r>
        <w:t xml:space="preserve">services required for the above-referenced residential project located in</w:t>
      </w:r>
      <w:r>
        <w:t xml:space="preserve"> </w:t>
      </w:r>
      <w:r>
        <w:t xml:space="preserve">Uzbekistan Tashkent</w:t>
      </w:r>
      <w:r>
        <w:t xml:space="preserve">. The scope encompasses all masonry-related activities including but not limited to bricklaying, block wall construction, foundation masonry, plastering, tile setting, and structural reinforcement works. All work shall be executed in strict compliance with the national building codes of the Republic of Uzbekistan and the specific technical specifications outlined in the project documentation.</w:t>
      </w:r>
    </w:p>
    <w:p>
      <w:pPr>
        <w:pStyle w:val="BodyText"/>
      </w:pPr>
      <w:r>
        <w:t xml:space="preserve">Our team of certified</w:t>
      </w:r>
      <w:r>
        <w:t xml:space="preserve"> </w:t>
      </w:r>
      <w:r>
        <w:t xml:space="preserve">Mason</w:t>
      </w:r>
      <w:r>
        <w:t xml:space="preserve"> </w:t>
      </w:r>
      <w:r>
        <w:t xml:space="preserve">professionals, with an average of fifteen years of experience in residential and commercial construction across</w:t>
      </w:r>
      <w:r>
        <w:t xml:space="preserve"> </w:t>
      </w:r>
      <w:r>
        <w:t xml:space="preserve">Uzbekistan Tashkent</w:t>
      </w:r>
      <w:r>
        <w:t xml:space="preserve">, will be deployed to ensure the highest quality of workmanship. The masonry works will utilize locally sourced clay bricks, concrete blocks, and Portland cement conforming to GOST and Uzbek national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Foundation masonry – reinforced concrete block laying (Grade C25/30)</w:t>
            </w:r>
          </w:p>
        </w:tc>
        <w:tc>
          <w:tcPr/>
          <w:p>
            <w:pPr>
              <w:pStyle w:val="Compact"/>
              <w:jc w:val="left"/>
            </w:pPr>
            <w:r>
              <w:t xml:space="preserve">m³</w:t>
            </w:r>
          </w:p>
        </w:tc>
        <w:tc>
          <w:tcPr/>
          <w:p>
            <w:pPr>
              <w:pStyle w:val="Compact"/>
              <w:jc w:val="left"/>
            </w:pPr>
            <w:r>
              <w:t xml:space="preserve">120</w:t>
            </w:r>
          </w:p>
        </w:tc>
        <w:tc>
          <w:tcPr/>
          <w:p>
            <w:pPr>
              <w:pStyle w:val="Compact"/>
              <w:jc w:val="left"/>
            </w:pPr>
            <w:r>
              <w:t xml:space="preserve">485,000</w:t>
            </w:r>
          </w:p>
        </w:tc>
        <w:tc>
          <w:tcPr/>
          <w:p>
            <w:pPr>
              <w:pStyle w:val="Compact"/>
              <w:jc w:val="left"/>
            </w:pPr>
            <w:r>
              <w:t xml:space="preserve">58,200,000</w:t>
            </w:r>
          </w:p>
        </w:tc>
      </w:tr>
      <w:tr>
        <w:tc>
          <w:tcPr/>
          <w:p>
            <w:pPr>
              <w:pStyle w:val="Compact"/>
              <w:jc w:val="left"/>
            </w:pPr>
            <w:r>
              <w:t xml:space="preserve">2</w:t>
            </w:r>
          </w:p>
        </w:tc>
        <w:tc>
          <w:tcPr/>
          <w:p>
            <w:pPr>
              <w:pStyle w:val="Compact"/>
              <w:jc w:val="left"/>
            </w:pPr>
            <w:r>
              <w:t xml:space="preserve">External load-bearing wall construction – solid clay brick (250mm thick)</w:t>
            </w:r>
          </w:p>
        </w:tc>
        <w:tc>
          <w:tcPr/>
          <w:p>
            <w:pPr>
              <w:pStyle w:val="Compact"/>
              <w:jc w:val="left"/>
            </w:pPr>
            <w:r>
              <w:t xml:space="preserve">m²</w:t>
            </w:r>
          </w:p>
        </w:tc>
        <w:tc>
          <w:tcPr/>
          <w:p>
            <w:pPr>
              <w:pStyle w:val="Compact"/>
              <w:jc w:val="left"/>
            </w:pPr>
            <w:r>
              <w:t xml:space="preserve">2,400</w:t>
            </w:r>
          </w:p>
        </w:tc>
        <w:tc>
          <w:tcPr/>
          <w:p>
            <w:pPr>
              <w:pStyle w:val="Compact"/>
              <w:jc w:val="left"/>
            </w:pPr>
            <w:r>
              <w:t xml:space="preserve">320,000</w:t>
            </w:r>
          </w:p>
        </w:tc>
        <w:tc>
          <w:tcPr/>
          <w:p>
            <w:pPr>
              <w:pStyle w:val="Compact"/>
              <w:jc w:val="left"/>
            </w:pPr>
            <w:r>
              <w:t xml:space="preserve">768,000,000</w:t>
            </w:r>
          </w:p>
        </w:tc>
      </w:tr>
      <w:tr>
        <w:tc>
          <w:tcPr/>
          <w:p>
            <w:pPr>
              <w:pStyle w:val="Compact"/>
              <w:jc w:val="left"/>
            </w:pPr>
            <w:r>
              <w:t xml:space="preserve">3</w:t>
            </w:r>
          </w:p>
        </w:tc>
        <w:tc>
          <w:tcPr/>
          <w:p>
            <w:pPr>
              <w:pStyle w:val="Compact"/>
              <w:jc w:val="left"/>
            </w:pPr>
            <w:r>
              <w:t xml:space="preserve">Internal partition walls – aerated concrete block (100mm thick)</w:t>
            </w:r>
          </w:p>
        </w:tc>
        <w:tc>
          <w:tcPr/>
          <w:p>
            <w:pPr>
              <w:pStyle w:val="Compact"/>
              <w:jc w:val="left"/>
            </w:pPr>
            <w:r>
              <w:t xml:space="preserve">m²</w:t>
            </w:r>
          </w:p>
        </w:tc>
        <w:tc>
          <w:tcPr/>
          <w:p>
            <w:pPr>
              <w:pStyle w:val="Compact"/>
              <w:jc w:val="left"/>
            </w:pPr>
            <w:r>
              <w:t xml:space="preserve">3,800</w:t>
            </w:r>
          </w:p>
        </w:tc>
        <w:tc>
          <w:tcPr/>
          <w:p>
            <w:pPr>
              <w:pStyle w:val="Compact"/>
              <w:jc w:val="left"/>
            </w:pPr>
            <w:r>
              <w:t xml:space="preserve">185,000</w:t>
            </w:r>
          </w:p>
        </w:tc>
        <w:tc>
          <w:tcPr/>
          <w:p>
            <w:pPr>
              <w:pStyle w:val="Compact"/>
              <w:jc w:val="left"/>
            </w:pPr>
            <w:r>
              <w:t xml:space="preserve">703,000,000</w:t>
            </w:r>
          </w:p>
        </w:tc>
      </w:tr>
      <w:tr>
        <w:tc>
          <w:tcPr/>
          <w:p>
            <w:pPr>
              <w:pStyle w:val="Compact"/>
              <w:jc w:val="left"/>
            </w:pPr>
            <w:r>
              <w:t xml:space="preserve">4</w:t>
            </w:r>
          </w:p>
        </w:tc>
        <w:tc>
          <w:tcPr/>
          <w:p>
            <w:pPr>
              <w:pStyle w:val="Compact"/>
              <w:jc w:val="left"/>
            </w:pPr>
            <w:r>
              <w:t xml:space="preserve">Lintel and beam masonry – precast concrete elements installation</w:t>
            </w:r>
          </w:p>
        </w:tc>
        <w:tc>
          <w:tcPr/>
          <w:p>
            <w:pPr>
              <w:pStyle w:val="Compact"/>
              <w:jc w:val="left"/>
            </w:pPr>
            <w:r>
              <w:t xml:space="preserve">pcs</w:t>
            </w:r>
          </w:p>
        </w:tc>
        <w:tc>
          <w:tcPr/>
          <w:p>
            <w:pPr>
              <w:pStyle w:val="Compact"/>
              <w:jc w:val="left"/>
            </w:pPr>
            <w:r>
              <w:t xml:space="preserve">185</w:t>
            </w:r>
          </w:p>
        </w:tc>
        <w:tc>
          <w:tcPr/>
          <w:p>
            <w:pPr>
              <w:pStyle w:val="Compact"/>
              <w:jc w:val="left"/>
            </w:pPr>
            <w:r>
              <w:t xml:space="preserve">95,000</w:t>
            </w:r>
          </w:p>
        </w:tc>
        <w:tc>
          <w:tcPr/>
          <w:p>
            <w:pPr>
              <w:pStyle w:val="Compact"/>
              <w:jc w:val="left"/>
            </w:pPr>
            <w:r>
              <w:t xml:space="preserve">17,575,000</w:t>
            </w:r>
          </w:p>
        </w:tc>
      </w:tr>
      <w:tr>
        <w:tc>
          <w:tcPr/>
          <w:p>
            <w:pPr>
              <w:pStyle w:val="Compact"/>
              <w:jc w:val="left"/>
            </w:pPr>
            <w:r>
              <w:t xml:space="preserve">5</w:t>
            </w:r>
          </w:p>
        </w:tc>
        <w:tc>
          <w:tcPr/>
          <w:p>
            <w:pPr>
              <w:pStyle w:val="Compact"/>
              <w:jc w:val="left"/>
            </w:pPr>
            <w:r>
              <w:t xml:space="preserve">Internal plastering – cement-sand mortar (two-coat finish)</w:t>
            </w:r>
          </w:p>
        </w:tc>
        <w:tc>
          <w:tcPr/>
          <w:p>
            <w:pPr>
              <w:pStyle w:val="Compact"/>
              <w:jc w:val="left"/>
            </w:pPr>
            <w:r>
              <w:t xml:space="preserve">m²</w:t>
            </w:r>
          </w:p>
        </w:tc>
        <w:tc>
          <w:tcPr/>
          <w:p>
            <w:pPr>
              <w:pStyle w:val="Compact"/>
              <w:jc w:val="left"/>
            </w:pPr>
            <w:r>
              <w:t xml:space="preserve">6,200</w:t>
            </w:r>
          </w:p>
        </w:tc>
        <w:tc>
          <w:tcPr/>
          <w:p>
            <w:pPr>
              <w:pStyle w:val="Compact"/>
              <w:jc w:val="left"/>
            </w:pPr>
            <w:r>
              <w:t xml:space="preserve">145,000</w:t>
            </w:r>
          </w:p>
        </w:tc>
        <w:tc>
          <w:tcPr/>
          <w:p>
            <w:pPr>
              <w:pStyle w:val="Compact"/>
              <w:jc w:val="left"/>
            </w:pPr>
            <w:r>
              <w:t xml:space="preserve">899,000,000</w:t>
            </w:r>
          </w:p>
        </w:tc>
      </w:tr>
      <w:tr>
        <w:tc>
          <w:tcPr/>
          <w:p>
            <w:pPr>
              <w:pStyle w:val="Compact"/>
              <w:jc w:val="left"/>
            </w:pPr>
            <w:r>
              <w:t xml:space="preserve">6</w:t>
            </w:r>
          </w:p>
        </w:tc>
        <w:tc>
          <w:tcPr/>
          <w:p>
            <w:pPr>
              <w:pStyle w:val="Compact"/>
              <w:jc w:val="left"/>
            </w:pPr>
            <w:r>
              <w:t xml:space="preserve">External plastering – weather-resistant render with waterproofing</w:t>
            </w:r>
          </w:p>
        </w:tc>
        <w:tc>
          <w:tcPr/>
          <w:p>
            <w:pPr>
              <w:pStyle w:val="Compact"/>
              <w:jc w:val="left"/>
            </w:pPr>
            <w:r>
              <w:t xml:space="preserve">m²</w:t>
            </w:r>
          </w:p>
        </w:tc>
        <w:tc>
          <w:tcPr/>
          <w:p>
            <w:pPr>
              <w:pStyle w:val="Compact"/>
              <w:jc w:val="left"/>
            </w:pPr>
            <w:r>
              <w:t xml:space="preserve">2,400</w:t>
            </w:r>
          </w:p>
        </w:tc>
        <w:tc>
          <w:tcPr/>
          <w:p>
            <w:pPr>
              <w:pStyle w:val="Compact"/>
              <w:jc w:val="left"/>
            </w:pPr>
            <w:r>
              <w:t xml:space="preserve">210,000</w:t>
            </w:r>
          </w:p>
        </w:tc>
        <w:tc>
          <w:tcPr/>
          <w:p>
            <w:pPr>
              <w:pStyle w:val="Compact"/>
              <w:jc w:val="left"/>
            </w:pPr>
            <w:r>
              <w:t xml:space="preserve">504,000,000</w:t>
            </w:r>
          </w:p>
        </w:tc>
      </w:tr>
      <w:tr>
        <w:tc>
          <w:tcPr/>
          <w:p>
            <w:pPr>
              <w:pStyle w:val="Compact"/>
              <w:jc w:val="left"/>
            </w:pPr>
            <w:r>
              <w:t xml:space="preserve">7</w:t>
            </w:r>
          </w:p>
        </w:tc>
        <w:tc>
          <w:tcPr/>
          <w:p>
            <w:pPr>
              <w:pStyle w:val="Compact"/>
              <w:jc w:val="left"/>
            </w:pPr>
            <w:r>
              <w:t xml:space="preserve">Ceramic tile setting – bathrooms and kitchens (floor and wall)</w:t>
            </w:r>
          </w:p>
        </w:tc>
        <w:tc>
          <w:tcPr/>
          <w:p>
            <w:pPr>
              <w:pStyle w:val="Compact"/>
              <w:jc w:val="left"/>
            </w:pPr>
            <w:r>
              <w:t xml:space="preserve">m²</w:t>
            </w:r>
          </w:p>
        </w:tc>
        <w:tc>
          <w:tcPr/>
          <w:p>
            <w:pPr>
              <w:pStyle w:val="Compact"/>
              <w:jc w:val="left"/>
            </w:pPr>
            <w:r>
              <w:t xml:space="preserve">1,150</w:t>
            </w:r>
          </w:p>
        </w:tc>
        <w:tc>
          <w:tcPr/>
          <w:p>
            <w:pPr>
              <w:pStyle w:val="Compact"/>
              <w:jc w:val="left"/>
            </w:pPr>
            <w:r>
              <w:t xml:space="preserve">275,000</w:t>
            </w:r>
          </w:p>
        </w:tc>
        <w:tc>
          <w:tcPr/>
          <w:p>
            <w:pPr>
              <w:pStyle w:val="Compact"/>
              <w:jc w:val="left"/>
            </w:pPr>
            <w:r>
              <w:t xml:space="preserve">316,250,000</w:t>
            </w:r>
          </w:p>
        </w:tc>
      </w:tr>
      <w:tr>
        <w:tc>
          <w:tcPr/>
          <w:p>
            <w:pPr>
              <w:pStyle w:val="Compact"/>
              <w:jc w:val="left"/>
            </w:pPr>
            <w:r>
              <w:t xml:space="preserve">8</w:t>
            </w:r>
          </w:p>
        </w:tc>
        <w:tc>
          <w:tcPr/>
          <w:p>
            <w:pPr>
              <w:pStyle w:val="Compact"/>
              <w:jc w:val="left"/>
            </w:pPr>
            <w:r>
              <w:t xml:space="preserve">Staircase masonry – concrete steps with brick risers and treads</w:t>
            </w:r>
          </w:p>
        </w:tc>
        <w:tc>
          <w:tcPr/>
          <w:p>
            <w:pPr>
              <w:pStyle w:val="Compact"/>
              <w:jc w:val="left"/>
            </w:pPr>
            <w:r>
              <w:t xml:space="preserve">runs</w:t>
            </w:r>
          </w:p>
        </w:tc>
        <w:tc>
          <w:tcPr/>
          <w:p>
            <w:pPr>
              <w:pStyle w:val="Compact"/>
              <w:jc w:val="left"/>
            </w:pPr>
            <w:r>
              <w:t xml:space="preserve">4</w:t>
            </w:r>
          </w:p>
        </w:tc>
        <w:tc>
          <w:tcPr/>
          <w:p>
            <w:pPr>
              <w:pStyle w:val="Compact"/>
              <w:jc w:val="left"/>
            </w:pPr>
            <w:r>
              <w:t xml:space="preserve">12,500,000</w:t>
            </w:r>
          </w:p>
        </w:tc>
        <w:tc>
          <w:tcPr/>
          <w:p>
            <w:pPr>
              <w:pStyle w:val="Compact"/>
              <w:jc w:val="left"/>
            </w:pPr>
            <w:r>
              <w:t xml:space="preserve">50,000,000</w:t>
            </w:r>
          </w:p>
        </w:tc>
      </w:tr>
      <w:tr>
        <w:tc>
          <w:tcPr/>
          <w:p>
            <w:pPr>
              <w:pStyle w:val="Compact"/>
              <w:jc w:val="left"/>
            </w:pPr>
            <w:r>
              <w:t xml:space="preserve">9</w:t>
            </w:r>
          </w:p>
        </w:tc>
        <w:tc>
          <w:tcPr/>
          <w:p>
            <w:pPr>
              <w:pStyle w:val="Compact"/>
              <w:jc w:val="left"/>
            </w:pPr>
            <w:r>
              <w:t xml:space="preserve">Chimney and ventilation shaft masonry – firebrick construction</w:t>
            </w:r>
          </w:p>
        </w:tc>
        <w:tc>
          <w:tcPr/>
          <w:p>
            <w:pPr>
              <w:pStyle w:val="Compact"/>
              <w:jc w:val="left"/>
            </w:pPr>
            <w:r>
              <w:t xml:space="preserve">pcs</w:t>
            </w:r>
          </w:p>
        </w:tc>
        <w:tc>
          <w:tcPr/>
          <w:p>
            <w:pPr>
              <w:pStyle w:val="Compact"/>
              <w:jc w:val="left"/>
            </w:pPr>
            <w:r>
              <w:t xml:space="preserve">12</w:t>
            </w:r>
          </w:p>
        </w:tc>
        <w:tc>
          <w:tcPr/>
          <w:p>
            <w:pPr>
              <w:pStyle w:val="Compact"/>
              <w:jc w:val="left"/>
            </w:pPr>
            <w:r>
              <w:t xml:space="preserve">3,800,000</w:t>
            </w:r>
          </w:p>
        </w:tc>
        <w:tc>
          <w:tcPr/>
          <w:p>
            <w:pPr>
              <w:pStyle w:val="Compact"/>
              <w:jc w:val="left"/>
            </w:pPr>
            <w:r>
              <w:t xml:space="preserve">45,600,000</w:t>
            </w:r>
          </w:p>
        </w:tc>
      </w:tr>
      <w:tr>
        <w:tc>
          <w:tcPr/>
          <w:p>
            <w:pPr>
              <w:pStyle w:val="Compact"/>
              <w:jc w:val="left"/>
            </w:pPr>
            <w:r>
              <w:t xml:space="preserve">10</w:t>
            </w:r>
          </w:p>
        </w:tc>
        <w:tc>
          <w:tcPr/>
          <w:p>
            <w:pPr>
              <w:pStyle w:val="Compact"/>
              <w:jc w:val="left"/>
            </w:pPr>
            <w:r>
              <w:t xml:space="preserve">Site preparation, scaffolding, and mason equipment mobilization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r>
      <w:tr>
        <w:tc>
          <w:tcPr>
            <w:gridSpan w:val="5"/>
          </w:tcPr>
          <w:p>
            <w:pPr>
              <w:pStyle w:val="Compact"/>
              <w:jc w:val="left"/>
            </w:pPr>
            <w:r>
              <w:t xml:space="preserve">SUBTOTAL (All Mason Works)</w:t>
            </w:r>
          </w:p>
        </w:tc>
        <w:tc>
          <w:tcPr/>
          <w:p>
            <w:pPr>
              <w:pStyle w:val="Compact"/>
              <w:jc w:val="left"/>
            </w:pPr>
            <w:r>
              <w:t xml:space="preserve">3,522,625,000</w:t>
            </w:r>
          </w:p>
        </w:tc>
      </w:tr>
      <w:tr>
        <w:tc>
          <w:tcPr>
            <w:gridSpan w:val="5"/>
          </w:tcPr>
          <w:p>
            <w:pPr>
              <w:pStyle w:val="Compact"/>
              <w:jc w:val="left"/>
            </w:pPr>
            <w:r>
              <w:t xml:space="preserve">VAT (12% – Uzbekistan Standard Rate)</w:t>
            </w:r>
          </w:p>
        </w:tc>
        <w:tc>
          <w:tcPr/>
          <w:p>
            <w:pPr>
              <w:pStyle w:val="Compact"/>
              <w:jc w:val="left"/>
            </w:pPr>
            <w:r>
              <w:t xml:space="preserve">422,715,000</w:t>
            </w:r>
          </w:p>
        </w:tc>
      </w:tr>
      <w:tr>
        <w:tc>
          <w:tcPr>
            <w:gridSpan w:val="5"/>
          </w:tcPr>
          <w:p>
            <w:pPr>
              <w:pStyle w:val="Compact"/>
              <w:jc w:val="left"/>
            </w:pPr>
            <w:r>
              <w:t xml:space="preserve">GRAND TOTAL (UZS)</w:t>
            </w:r>
          </w:p>
        </w:tc>
        <w:tc>
          <w:tcPr/>
          <w:p>
            <w:pPr>
              <w:pStyle w:val="Compact"/>
              <w:jc w:val="left"/>
            </w:pPr>
            <w:r>
              <w:t xml:space="preserve">3,945,340,000</w:t>
            </w:r>
          </w:p>
        </w:tc>
      </w:tr>
    </w:tbl>
    <w:bookmarkEnd w:id="23"/>
    <w:bookmarkStart w:id="24" w:name="project-timeline"/>
    <w:p>
      <w:pPr>
        <w:pStyle w:val="Heading2"/>
      </w:pPr>
      <w:r>
        <w:t xml:space="preserve">4. Project Timeline</w:t>
      </w:r>
    </w:p>
    <w:p>
      <w:pPr>
        <w:pStyle w:val="FirstParagraph"/>
      </w:pPr>
      <w:r>
        <w:t xml:space="preserve">The total duration for completion of all</w:t>
      </w:r>
      <w:r>
        <w:t xml:space="preserve"> </w:t>
      </w:r>
      <w:r>
        <w:t xml:space="preserve">Mason</w:t>
      </w:r>
      <w:r>
        <w:t xml:space="preserve"> </w:t>
      </w:r>
      <w:r>
        <w:t xml:space="preserve">works as detailed in this</w:t>
      </w:r>
      <w:r>
        <w:t xml:space="preserve"> </w:t>
      </w:r>
      <w:r>
        <w:t xml:space="preserve">Quotation Estimate</w:t>
      </w:r>
      <w:r>
        <w:t xml:space="preserve"> </w:t>
      </w:r>
      <w:r>
        <w:t xml:space="preserve">is estimated at</w:t>
      </w:r>
      <w:r>
        <w:t xml:space="preserve"> </w:t>
      </w:r>
      <w:r>
        <w:rPr>
          <w:bCs/>
          <w:b/>
        </w:rPr>
        <w:t xml:space="preserve">fourteen (14) calendar weeks</w:t>
      </w:r>
      <w:r>
        <w:t xml:space="preserve"> </w:t>
      </w:r>
      <w:r>
        <w:t xml:space="preserve">from the date of contract signing. The schedule accounts for seasonal weather conditions typical of</w:t>
      </w:r>
      <w:r>
        <w:t xml:space="preserve"> </w:t>
      </w:r>
      <w:r>
        <w:t xml:space="preserve">Uzbekistan Tashkent</w:t>
      </w:r>
      <w:r>
        <w:t xml:space="preserve">, including the hot summer months where curing times for mortar and concrete may be adjusted. A detailed Gantt chart and weekly progress reporting schedule will be provided upon contract execution.</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and material costs are subject to revision based on prevailing market conditions in</w:t>
      </w:r>
      <w:r>
        <w:t xml:space="preserve"> </w:t>
      </w:r>
      <w:r>
        <w:t xml:space="preserve">Uzbekistan Tashkent</w:t>
      </w:r>
      <w:r>
        <w:t xml:space="preserve">.</w:t>
      </w:r>
    </w:p>
    <w:p>
      <w:pPr>
        <w:numPr>
          <w:ilvl w:val="0"/>
          <w:numId w:val="1001"/>
        </w:numPr>
        <w:pStyle w:val="Compact"/>
      </w:pPr>
      <w:r>
        <w:t xml:space="preserve">Payment terms: 30% advance payment upon contract signing, 40% upon completion of structural masonry (items 1–4), 20% upon completion of plastering and tile works (items 5–7), and 10% upon final handover and client acceptance.</w:t>
      </w:r>
    </w:p>
    <w:p>
      <w:pPr>
        <w:numPr>
          <w:ilvl w:val="0"/>
          <w:numId w:val="1001"/>
        </w:numPr>
        <w:pStyle w:val="Compact"/>
      </w:pPr>
      <w:r>
        <w:t xml:space="preserve">All payments shall be made in Uzbekistan Som (UZS) via bank transfer to the account of Tashkent Mason &amp; Construction Co. registered with the Central Bank of the Republic of Uzbekistan.</w:t>
      </w:r>
    </w:p>
    <w:p>
      <w:pPr>
        <w:numPr>
          <w:ilvl w:val="0"/>
          <w:numId w:val="1001"/>
        </w:numPr>
        <w:pStyle w:val="Compact"/>
      </w:pPr>
      <w:r>
        <w:t xml:space="preserve">The</w:t>
      </w:r>
      <w:r>
        <w:t xml:space="preserve"> </w:t>
      </w:r>
      <w:r>
        <w:t xml:space="preserve">Mason</w:t>
      </w:r>
      <w:r>
        <w:t xml:space="preserve"> </w:t>
      </w:r>
      <w:r>
        <w:t xml:space="preserve">team shall provide a twelve-month workmanship warranty on all masonry works. Any defects arising from poor workmanship within this period shall be rectified at no additional cost to the client.</w:t>
      </w:r>
    </w:p>
    <w:p>
      <w:pPr>
        <w:numPr>
          <w:ilvl w:val="0"/>
          <w:numId w:val="1001"/>
        </w:numPr>
        <w:pStyle w:val="Compact"/>
      </w:pPr>
      <w:r>
        <w:t xml:space="preserve">Materials specified in this quotation are subject to availability. In the event of unavailability, equivalent or superior materials will be substituted with prior written approval from the client.</w:t>
      </w:r>
    </w:p>
    <w:p>
      <w:pPr>
        <w:numPr>
          <w:ilvl w:val="0"/>
          <w:numId w:val="1001"/>
        </w:numPr>
        <w:pStyle w:val="Compact"/>
      </w:pPr>
      <w:r>
        <w:t xml:space="preserve">All work shall comply with the Construction Code of the Republic of Uzbekistan, local Tashkent municipal regulations, and applicable GOST standards. The client is responsible for obtaining all necessary building permits and approvals prior to commencement.</w:t>
      </w:r>
    </w:p>
    <w:p>
      <w:pPr>
        <w:numPr>
          <w:ilvl w:val="0"/>
          <w:numId w:val="1001"/>
        </w:numPr>
        <w:pStyle w:val="Compact"/>
      </w:pPr>
      <w:r>
        <w:t xml:space="preserve">Force majeure events, including but not limited to natural disasters, government-mandated shutdowns, or supply chain disruptions specific to the</w:t>
      </w:r>
      <w:r>
        <w:t xml:space="preserve"> </w:t>
      </w:r>
      <w:r>
        <w:t xml:space="preserve">Uzbekistan Tashkent</w:t>
      </w:r>
      <w:r>
        <w:t xml:space="preserve"> </w:t>
      </w:r>
      <w:r>
        <w:t xml:space="preserve">region, shall extend the project timeline proportionally without penalty to either party.</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contract shall be resolved through arbitration in Tashkent, Uzbekistan, in accordance with the rules of the Tashkent Arbitration Center.</w:t>
      </w:r>
    </w:p>
    <w:p>
      <w:pPr>
        <w:numPr>
          <w:ilvl w:val="0"/>
          <w:numId w:val="1001"/>
        </w:numPr>
        <w:pStyle w:val="Compact"/>
      </w:pPr>
      <w:r>
        <w:t xml:space="preserve">This document constitutes a non-binding</w:t>
      </w:r>
      <w:r>
        <w:t xml:space="preserve"> </w:t>
      </w:r>
      <w:r>
        <w:t xml:space="preserve">Quotation Estimate</w:t>
      </w:r>
      <w:r>
        <w:t xml:space="preserve"> </w:t>
      </w:r>
      <w:r>
        <w:t xml:space="preserve">until formally accepted in writing by both parties and converted into a binding construction contract.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Mason</w:t>
      </w:r>
      <w:r>
        <w:t xml:space="preserve"> </w:t>
      </w:r>
      <w:r>
        <w:t xml:space="preserve">services in</w:t>
      </w:r>
      <w:r>
        <w:t xml:space="preserve"> </w:t>
      </w:r>
      <w:r>
        <w:t xml:space="preserve">Uzbekistan Tashkent</w:t>
      </w:r>
      <w:r>
        <w:t xml:space="preserve"> </w:t>
      </w:r>
      <w:r>
        <w:t xml:space="preserve">and agrees to the terms, conditions, and pricing outlined herein. This acceptance does not constitute a binding contract until a formal agreement is executed by both parties.</w:t>
      </w:r>
    </w:p>
    <w:p>
      <w:pPr>
        <w:pStyle w:val="BodyText"/>
      </w:pPr>
      <w:r>
        <w:rPr>
          <w:bCs/>
          <w:b/>
        </w:rPr>
        <w:t xml:space="preserve">For Tashkent Mason &amp; Construction Co.</w:t>
      </w:r>
      <w:r>
        <w:br/>
      </w:r>
      <w:r>
        <w:t xml:space="preserve">Name: Aziz Rahimov</w:t>
      </w:r>
      <w:r>
        <w:br/>
      </w:r>
      <w:r>
        <w:t xml:space="preserve">Title: Chief Mason &amp; Project Manager</w:t>
      </w:r>
      <w:r>
        <w:br/>
      </w:r>
      <w:r>
        <w:t xml:space="preserve">Signature &amp; Date: _________________________</w:t>
      </w:r>
    </w:p>
    <w:p>
      <w:pPr>
        <w:pStyle w:val="BodyText"/>
      </w:pPr>
      <w:r>
        <w:rPr>
          <w:bCs/>
          <w:b/>
        </w:rPr>
        <w:t xml:space="preserve">For the Client</w:t>
      </w:r>
      <w:r>
        <w:br/>
      </w:r>
      <w:r>
        <w:t xml:space="preserve">Name: Rustam Karimov</w:t>
      </w:r>
      <w:r>
        <w:br/>
      </w:r>
      <w:r>
        <w:t xml:space="preserve">Title: Project Director</w:t>
      </w:r>
      <w:r>
        <w:br/>
      </w:r>
      <w:r>
        <w:t xml:space="preserve">Signature &amp; Date: _________________________</w:t>
      </w:r>
    </w:p>
    <w:p>
      <w:pPr>
        <w:pStyle w:val="BodyText"/>
      </w:pPr>
      <w:r>
        <w:t xml:space="preserve">Tashkent Mason &amp; Construction Co. | 42 Amir Temur Avenue, Tashkent 100000, Republic of Uzbekistan</w:t>
      </w:r>
      <w:r>
        <w:br/>
      </w:r>
      <w:r>
        <w:t xml:space="preserve">Registration No. 1000000000000 | Tax ID: 200123456</w:t>
      </w:r>
      <w:r>
        <w:br/>
      </w:r>
      <w:r>
        <w:t xml:space="preserve">This Quotation Estimate document is generated electronically and is valid without a physical stamp.</w:t>
      </w:r>
      <w:r>
        <w:br/>
      </w:r>
      <w:r>
        <w:t xml:space="preserve">© 2025 Tashkent Mason &amp; Construction Co.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Uzbekistan Tashkent</dc:title>
  <dc:creator/>
  <dc:language>en</dc:language>
  <cp:keywords/>
  <dcterms:created xsi:type="dcterms:W3CDTF">2026-10-10T05:50:44Z</dcterms:created>
  <dcterms:modified xsi:type="dcterms:W3CDTF">2026-10-10T05:50:44Z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