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t xml:space="preserve">Professional Mathematician Services</w:t>
      </w:r>
    </w:p>
    <w:p>
      <w:pPr>
        <w:pStyle w:val="BodyText"/>
      </w:pPr>
      <w:r>
        <w:t xml:space="preserve">Colombia Bogotá – Cundinamarca, Colombia</w:t>
      </w:r>
    </w:p>
    <w:p>
      <w:pPr>
        <w:pStyle w:val="BodyText"/>
      </w:pPr>
      <w:r>
        <w:t xml:space="preserve">Document Reference: QE-MATH-BOG-2025-0047</w:t>
      </w:r>
    </w:p>
    <w:bookmarkEnd w:id="20"/>
    <w:p>
      <w:pPr>
        <w:pStyle w:val="BodyText"/>
      </w:pPr>
      <w:r>
        <w:rPr>
          <w:bCs/>
          <w:b/>
        </w:rPr>
        <w:t xml:space="preserve">Quotation Date:</w:t>
      </w:r>
      <w:r>
        <w:t xml:space="preserve"> </w:t>
      </w:r>
      <w:r>
        <w:t xml:space="preserve">June 15, 2025</w:t>
      </w:r>
      <w:r>
        <w:br/>
      </w:r>
      <w:r>
        <w:rPr>
          <w:bCs/>
          <w:b/>
        </w:rPr>
        <w:t xml:space="preserve">Valid Until:</w:t>
      </w:r>
      <w:r>
        <w:t xml:space="preserve"> </w:t>
      </w:r>
      <w:r>
        <w:t xml:space="preserve">July 15, 2025</w:t>
      </w:r>
      <w:r>
        <w:br/>
      </w:r>
      <w:r>
        <w:rPr>
          <w:bCs/>
          <w:b/>
        </w:rPr>
        <w:t xml:space="preserve">Currency:</w:t>
      </w:r>
      <w:r>
        <w:t xml:space="preserve"> </w:t>
      </w:r>
      <w:r>
        <w:t xml:space="preserve">Colombian Peso (COP)</w:t>
      </w:r>
    </w:p>
    <w:p>
      <w:pPr>
        <w:pStyle w:val="BodyText"/>
      </w:pPr>
      <w:r>
        <w:rPr>
          <w:bCs/>
          <w:b/>
        </w:rPr>
        <w:t xml:space="preserve">Prepared By:</w:t>
      </w:r>
      <w:r>
        <w:t xml:space="preserve"> </w:t>
      </w:r>
      <w:r>
        <w:t xml:space="preserve">Dr. Alejandro Restrepo M.</w:t>
      </w:r>
      <w:r>
        <w:br/>
      </w:r>
      <w:r>
        <w:rPr>
          <w:bCs/>
          <w:b/>
        </w:rPr>
        <w:t xml:space="preserve">Specialist:</w:t>
      </w:r>
      <w:r>
        <w:t xml:space="preserve"> </w:t>
      </w:r>
      <w:r>
        <w:t xml:space="preserve">Mathematician – Applied &amp; Theoretical</w:t>
      </w:r>
      <w:r>
        <w:br/>
      </w:r>
      <w:r>
        <w:rPr>
          <w:bCs/>
          <w:b/>
        </w:rPr>
        <w:t xml:space="preserve">Location:</w:t>
      </w:r>
      <w:r>
        <w:t xml:space="preserve"> </w:t>
      </w:r>
      <w:r>
        <w:t xml:space="preserve">Bogotá D.C., Colombia</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 Entity:</w:t>
            </w:r>
          </w:p>
        </w:tc>
        <w:tc>
          <w:tcPr/>
          <w:p>
            <w:pPr>
              <w:pStyle w:val="Compact"/>
              <w:jc w:val="left"/>
            </w:pPr>
            <w:r>
              <w:t xml:space="preserve">Ingeniería y Datos S.A.S.</w:t>
            </w:r>
          </w:p>
        </w:tc>
      </w:tr>
      <w:tr>
        <w:tc>
          <w:tcPr/>
          <w:p>
            <w:pPr>
              <w:pStyle w:val="Compact"/>
              <w:jc w:val="left"/>
            </w:pPr>
            <w:r>
              <w:rPr>
                <w:bCs/>
                <w:b/>
              </w:rPr>
              <w:t xml:space="preserve">NIT:</w:t>
            </w:r>
          </w:p>
        </w:tc>
        <w:tc>
          <w:tcPr/>
          <w:p>
            <w:pPr>
              <w:pStyle w:val="Compact"/>
              <w:jc w:val="left"/>
            </w:pPr>
            <w:r>
              <w:t xml:space="preserve">901.234.567-8</w:t>
            </w:r>
          </w:p>
        </w:tc>
      </w:tr>
      <w:tr>
        <w:tc>
          <w:tcPr/>
          <w:p>
            <w:pPr>
              <w:pStyle w:val="Compact"/>
              <w:jc w:val="left"/>
            </w:pPr>
            <w:r>
              <w:rPr>
                <w:bCs/>
                <w:b/>
              </w:rPr>
              <w:t xml:space="preserve">Address:</w:t>
            </w:r>
          </w:p>
        </w:tc>
        <w:tc>
          <w:tcPr/>
          <w:p>
            <w:pPr>
              <w:pStyle w:val="Compact"/>
              <w:jc w:val="left"/>
            </w:pPr>
            <w:r>
              <w:t xml:space="preserve">Calle 93 # 15-40, Of. 602, Zona Rosa, Bogotá D.C., Colombia</w:t>
            </w:r>
          </w:p>
        </w:tc>
      </w:tr>
      <w:tr>
        <w:tc>
          <w:tcPr/>
          <w:p>
            <w:pPr>
              <w:pStyle w:val="Compact"/>
              <w:jc w:val="left"/>
            </w:pPr>
            <w:r>
              <w:rPr>
                <w:bCs/>
                <w:b/>
              </w:rPr>
              <w:t xml:space="preserve">Contact Person:</w:t>
            </w:r>
          </w:p>
        </w:tc>
        <w:tc>
          <w:tcPr/>
          <w:p>
            <w:pPr>
              <w:pStyle w:val="Compact"/>
              <w:jc w:val="left"/>
            </w:pPr>
            <w:r>
              <w:t xml:space="preserve">Ing. María Fernanda Gutiérrez</w:t>
            </w:r>
          </w:p>
        </w:tc>
      </w:tr>
      <w:tr>
        <w:tc>
          <w:tcPr/>
          <w:p>
            <w:pPr>
              <w:pStyle w:val="Compact"/>
              <w:jc w:val="left"/>
            </w:pPr>
            <w:r>
              <w:rPr>
                <w:bCs/>
                <w:b/>
              </w:rPr>
              <w:t xml:space="preserve">Email:</w:t>
            </w:r>
          </w:p>
        </w:tc>
        <w:tc>
          <w:tcPr/>
          <w:p>
            <w:pPr>
              <w:pStyle w:val="Compact"/>
              <w:jc w:val="left"/>
            </w:pPr>
            <w:r>
              <w:t xml:space="preserve">m.gutierrez@ingenieriadatos.co</w:t>
            </w:r>
          </w:p>
        </w:tc>
      </w:tr>
    </w:tbl>
    <w:bookmarkEnd w:id="21"/>
    <w:bookmarkStart w:id="22" w:name="X98989f623c94dff6d57c83a6cf6071388482390"/>
    <w:p>
      <w:pPr>
        <w:pStyle w:val="Heading2"/>
      </w:pPr>
      <w:r>
        <w:t xml:space="preserve">2. Scope of Work – Mathematician Services in Colombia Bogotá</w:t>
      </w:r>
    </w:p>
    <w:p>
      <w:pPr>
        <w:pStyle w:val="FirstParagraph"/>
      </w:pPr>
      <w:r>
        <w:t xml:space="preserve">This</w:t>
      </w:r>
      <w:r>
        <w:t xml:space="preserve"> </w:t>
      </w:r>
      <w:r>
        <w:t xml:space="preserve">Quotation Estimate</w:t>
      </w:r>
      <w:r>
        <w:t xml:space="preserve"> </w:t>
      </w:r>
      <w:r>
        <w:t xml:space="preserve">is issued for the professional engagement of a</w:t>
      </w:r>
      <w:r>
        <w:t xml:space="preserve"> </w:t>
      </w:r>
      <w:r>
        <w:t xml:space="preserve">Mathematician</w:t>
      </w:r>
      <w:r>
        <w:t xml:space="preserve"> </w:t>
      </w:r>
      <w:r>
        <w:t xml:space="preserve">to provide specialized quantitative analysis, modeling, and research support to the client's operations in</w:t>
      </w:r>
      <w:r>
        <w:t xml:space="preserve"> </w:t>
      </w:r>
      <w:r>
        <w:t xml:space="preserve">Colombia Bogotá</w:t>
      </w:r>
      <w:r>
        <w:t xml:space="preserve">. The Mathematician will be responsible for developing, validating, and implementing mathematical models that address the client's strategic data challenges. All services will be rendered in compliance with Colombian labor regulations (Código Sustantivo del Trabajo) and applicable tax obligations administered by the DIAN in Bogotá.</w:t>
      </w:r>
    </w:p>
    <w:p>
      <w:pPr>
        <w:pStyle w:val="BodyText"/>
      </w:pPr>
      <w:r>
        <w:t xml:space="preserve">The Mathematician will work primarily from the client's offices in the Zona Rosa district of Bogotá D.C., with the option of hybrid remote work as agreed upon in the service contract. The engagement covers a period of twelve (12) months, renewable by mutual written consent.</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Senior Mathematician – Monthly Professional Fee (Applied Mathematics, Optimization, and Statistical Modeling)</w:t>
            </w:r>
          </w:p>
        </w:tc>
        <w:tc>
          <w:tcPr/>
          <w:p>
            <w:pPr>
              <w:pStyle w:val="Compact"/>
              <w:jc w:val="left"/>
            </w:pPr>
            <w:r>
              <w:t xml:space="preserve">12 months</w:t>
            </w:r>
          </w:p>
        </w:tc>
        <w:tc>
          <w:tcPr/>
          <w:p>
            <w:pPr>
              <w:pStyle w:val="Compact"/>
              <w:jc w:val="left"/>
            </w:pPr>
            <w:r>
              <w:t xml:space="preserve">12,500,000</w:t>
            </w:r>
          </w:p>
        </w:tc>
        <w:tc>
          <w:tcPr/>
          <w:p>
            <w:pPr>
              <w:pStyle w:val="Compact"/>
              <w:jc w:val="left"/>
            </w:pPr>
            <w:r>
              <w:t xml:space="preserve">150,000,000</w:t>
            </w:r>
          </w:p>
        </w:tc>
      </w:tr>
      <w:tr>
        <w:tc>
          <w:tcPr/>
          <w:p>
            <w:pPr>
              <w:pStyle w:val="Compact"/>
              <w:jc w:val="left"/>
            </w:pPr>
            <w:r>
              <w:t xml:space="preserve">02</w:t>
            </w:r>
          </w:p>
        </w:tc>
        <w:tc>
          <w:tcPr/>
          <w:p>
            <w:pPr>
              <w:pStyle w:val="Compact"/>
              <w:jc w:val="left"/>
            </w:pPr>
            <w:r>
              <w:t xml:space="preserve">Mathematical Model Development &amp; Validation (3 major deliverables per quarter)</w:t>
            </w:r>
          </w:p>
        </w:tc>
        <w:tc>
          <w:tcPr/>
          <w:p>
            <w:pPr>
              <w:pStyle w:val="Compact"/>
              <w:jc w:val="left"/>
            </w:pPr>
            <w:r>
              <w:t xml:space="preserve">12 months</w:t>
            </w:r>
          </w:p>
        </w:tc>
        <w:tc>
          <w:tcPr/>
          <w:p>
            <w:pPr>
              <w:pStyle w:val="Compact"/>
              <w:jc w:val="left"/>
            </w:pPr>
            <w:r>
              <w:t xml:space="preserve">8,000,000</w:t>
            </w:r>
          </w:p>
        </w:tc>
        <w:tc>
          <w:tcPr/>
          <w:p>
            <w:pPr>
              <w:pStyle w:val="Compact"/>
              <w:jc w:val="left"/>
            </w:pPr>
            <w:r>
              <w:t xml:space="preserve">96,000,000</w:t>
            </w:r>
          </w:p>
        </w:tc>
      </w:tr>
      <w:tr>
        <w:tc>
          <w:tcPr/>
          <w:p>
            <w:pPr>
              <w:pStyle w:val="Compact"/>
              <w:jc w:val="left"/>
            </w:pPr>
            <w:r>
              <w:t xml:space="preserve">03</w:t>
            </w:r>
          </w:p>
        </w:tc>
        <w:tc>
          <w:tcPr/>
          <w:p>
            <w:pPr>
              <w:pStyle w:val="Compact"/>
              <w:jc w:val="left"/>
            </w:pPr>
            <w:r>
              <w:t xml:space="preserve">On-site Consultation &amp; Technical Workshops in Bogotá D.C. (2 sessions per month)</w:t>
            </w:r>
          </w:p>
        </w:tc>
        <w:tc>
          <w:tcPr/>
          <w:p>
            <w:pPr>
              <w:pStyle w:val="Compact"/>
              <w:jc w:val="left"/>
            </w:pPr>
            <w:r>
              <w:t xml:space="preserve">12 months</w:t>
            </w:r>
          </w:p>
        </w:tc>
        <w:tc>
          <w:tcPr/>
          <w:p>
            <w:pPr>
              <w:pStyle w:val="Compact"/>
              <w:jc w:val="left"/>
            </w:pPr>
            <w:r>
              <w:t xml:space="preserve">3,500,000</w:t>
            </w:r>
          </w:p>
        </w:tc>
        <w:tc>
          <w:tcPr/>
          <w:p>
            <w:pPr>
              <w:pStyle w:val="Compact"/>
              <w:jc w:val="left"/>
            </w:pPr>
            <w:r>
              <w:t xml:space="preserve">84,000,000</w:t>
            </w:r>
          </w:p>
        </w:tc>
      </w:tr>
      <w:tr>
        <w:tc>
          <w:tcPr/>
          <w:p>
            <w:pPr>
              <w:pStyle w:val="Compact"/>
              <w:jc w:val="left"/>
            </w:pPr>
            <w:r>
              <w:t xml:space="preserve">04</w:t>
            </w:r>
          </w:p>
        </w:tc>
        <w:tc>
          <w:tcPr/>
          <w:p>
            <w:pPr>
              <w:pStyle w:val="Compact"/>
              <w:jc w:val="left"/>
            </w:pPr>
            <w:r>
              <w:t xml:space="preserve">Academic Research Support &amp; Publication Assistance (Colombian journals and international conferences)</w:t>
            </w:r>
          </w:p>
        </w:tc>
        <w:tc>
          <w:tcPr/>
          <w:p>
            <w:pPr>
              <w:pStyle w:val="Compact"/>
              <w:jc w:val="left"/>
            </w:pPr>
            <w:r>
              <w:t xml:space="preserve">12 months</w:t>
            </w:r>
          </w:p>
        </w:tc>
        <w:tc>
          <w:tcPr/>
          <w:p>
            <w:pPr>
              <w:pStyle w:val="Compact"/>
              <w:jc w:val="left"/>
            </w:pPr>
            <w:r>
              <w:t xml:space="preserve">2,000,000</w:t>
            </w:r>
          </w:p>
        </w:tc>
        <w:tc>
          <w:tcPr/>
          <w:p>
            <w:pPr>
              <w:pStyle w:val="Compact"/>
              <w:jc w:val="left"/>
            </w:pPr>
            <w:r>
              <w:t xml:space="preserve">48,000,000</w:t>
            </w:r>
          </w:p>
        </w:tc>
      </w:tr>
      <w:tr>
        <w:tc>
          <w:tcPr/>
          <w:p>
            <w:pPr>
              <w:pStyle w:val="Compact"/>
              <w:jc w:val="left"/>
            </w:pPr>
            <w:r>
              <w:t xml:space="preserve">05</w:t>
            </w:r>
          </w:p>
        </w:tc>
        <w:tc>
          <w:tcPr/>
          <w:p>
            <w:pPr>
              <w:pStyle w:val="Compact"/>
              <w:jc w:val="left"/>
            </w:pPr>
            <w:r>
              <w:t xml:space="preserve">Software Licensing &amp; Computational Tools (MATLAB, Python Scientific Stack, R, Wolfram Mathematica)</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43,200,000</w:t>
            </w:r>
          </w:p>
        </w:tc>
      </w:tr>
      <w:tr>
        <w:tc>
          <w:tcPr/>
          <w:p>
            <w:pPr>
              <w:pStyle w:val="Compact"/>
              <w:jc w:val="left"/>
            </w:pPr>
            <w:r>
              <w:t xml:space="preserve">06</w:t>
            </w:r>
          </w:p>
        </w:tc>
        <w:tc>
          <w:tcPr/>
          <w:p>
            <w:pPr>
              <w:pStyle w:val="Compact"/>
              <w:jc w:val="left"/>
            </w:pPr>
            <w:r>
              <w:t xml:space="preserve">Travel &amp; Logistics within Bogotá D.C. and surrounding Cundinamarca departments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28,800,000</w:t>
            </w:r>
          </w:p>
        </w:tc>
      </w:tr>
      <w:tr>
        <w:tc>
          <w:tcPr/>
          <w:p>
            <w:pPr>
              <w:pStyle w:val="Compact"/>
              <w:jc w:val="left"/>
            </w:pPr>
            <w:r>
              <w:t xml:space="preserve">07</w:t>
            </w:r>
          </w:p>
        </w:tc>
        <w:tc>
          <w:tcPr/>
          <w:p>
            <w:pPr>
              <w:pStyle w:val="Compact"/>
              <w:jc w:val="left"/>
            </w:pPr>
            <w:r>
              <w:t xml:space="preserve">Administrative &amp; Legal Compliance (Régimen Simple, ICA Bogotá, Retención en la Fuente)</w:t>
            </w:r>
          </w:p>
        </w:tc>
        <w:tc>
          <w:tcPr/>
          <w:p>
            <w:pPr>
              <w:pStyle w:val="Compact"/>
              <w:jc w:val="left"/>
            </w:pPr>
            <w:r>
              <w:t xml:space="preserve">12 months</w:t>
            </w:r>
          </w:p>
        </w:tc>
        <w:tc>
          <w:tcPr/>
          <w:p>
            <w:pPr>
              <w:pStyle w:val="Compact"/>
              <w:jc w:val="left"/>
            </w:pPr>
            <w:r>
              <w:t xml:space="preserve">900,000</w:t>
            </w:r>
          </w:p>
        </w:tc>
        <w:tc>
          <w:tcPr/>
          <w:p>
            <w:pPr>
              <w:pStyle w:val="Compact"/>
              <w:jc w:val="left"/>
            </w:pPr>
            <w:r>
              <w:t xml:space="preserve">21,600,000</w:t>
            </w:r>
          </w:p>
        </w:tc>
      </w:tr>
      <w:tr>
        <w:tc>
          <w:tcPr>
            <w:gridSpan w:val="4"/>
          </w:tcPr>
          <w:p>
            <w:pPr>
              <w:pStyle w:val="Compact"/>
              <w:jc w:val="left"/>
            </w:pPr>
            <w:r>
              <w:t xml:space="preserve">SUBTOTAL (COP)</w:t>
            </w:r>
          </w:p>
        </w:tc>
        <w:tc>
          <w:tcPr/>
          <w:p>
            <w:pPr>
              <w:pStyle w:val="Compact"/>
              <w:jc w:val="left"/>
            </w:pPr>
            <w:r>
              <w:t xml:space="preserve">471,600,000</w:t>
            </w:r>
          </w:p>
        </w:tc>
      </w:tr>
      <w:tr>
        <w:tc>
          <w:tcPr>
            <w:gridSpan w:val="4"/>
          </w:tcPr>
          <w:p>
            <w:pPr>
              <w:pStyle w:val="Compact"/>
              <w:jc w:val="left"/>
            </w:pPr>
            <w:r>
              <w:t xml:space="preserve">IVA 19% (Colombian Value Added Tax)</w:t>
            </w:r>
          </w:p>
        </w:tc>
        <w:tc>
          <w:tcPr/>
          <w:p>
            <w:pPr>
              <w:pStyle w:val="Compact"/>
              <w:jc w:val="left"/>
            </w:pPr>
            <w:r>
              <w:t xml:space="preserve">89,604,000</w:t>
            </w:r>
          </w:p>
        </w:tc>
      </w:tr>
      <w:tr>
        <w:tc>
          <w:tcPr>
            <w:gridSpan w:val="4"/>
          </w:tcPr>
          <w:p>
            <w:pPr>
              <w:pStyle w:val="Compact"/>
              <w:jc w:val="left"/>
            </w:pPr>
            <w:r>
              <w:t xml:space="preserve">GRAND TOTAL (COP)</w:t>
            </w:r>
          </w:p>
        </w:tc>
        <w:tc>
          <w:tcPr/>
          <w:p>
            <w:pPr>
              <w:pStyle w:val="Compact"/>
              <w:jc w:val="left"/>
            </w:pPr>
            <w:r>
              <w:t xml:space="preserve">561,204,000</w:t>
            </w:r>
          </w:p>
        </w:tc>
      </w:tr>
    </w:tbl>
    <w:p>
      <w:pPr>
        <w:pStyle w:val="BodyText"/>
      </w:pPr>
      <w:r>
        <w:rPr>
          <w:bCs/>
          <w:b/>
        </w:rPr>
        <w:t xml:space="preserve">Note:</w:t>
      </w:r>
      <w:r>
        <w:t xml:space="preserve"> </w:t>
      </w:r>
      <w:r>
        <w:t xml:space="preserve">This Quotation Estimate is expressed in Colombian Pesos (COP). All amounts are subject to adjustment in the event of a change in the Colombian minimum wage (salario mínimo legal) or the DIAN tax regulations during the contract period. The Mathematician's professional fee is structured under the Colombian "Régimen Simple" tax regime for independent professionals.</w:t>
      </w:r>
    </w:p>
    <w:bookmarkEnd w:id="23"/>
    <w:bookmarkStart w:id="24" w:name="payment-schedule"/>
    <w:p>
      <w:pPr>
        <w:pStyle w:val="Heading2"/>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(COP)</w:t>
            </w:r>
          </w:p>
        </w:tc>
        <w:tc>
          <w:tcPr/>
          <w:p>
            <w:pPr>
              <w:pStyle w:val="Compact"/>
              <w:jc w:val="left"/>
            </w:pPr>
            <w:r>
              <w:t xml:space="preserve">Percentage</w:t>
            </w:r>
          </w:p>
        </w:tc>
      </w:tr>
      <w:tr>
        <w:tc>
          <w:tcPr/>
          <w:p>
            <w:pPr>
              <w:pStyle w:val="Compact"/>
              <w:jc w:val="left"/>
            </w:pPr>
            <w:r>
              <w:t xml:space="preserve">1st – Advance upon contract signing</w:t>
            </w:r>
          </w:p>
        </w:tc>
        <w:tc>
          <w:tcPr/>
          <w:p>
            <w:pPr>
              <w:pStyle w:val="Compact"/>
              <w:jc w:val="left"/>
            </w:pPr>
            <w:r>
              <w:t xml:space="preserve">July 1, 2025</w:t>
            </w:r>
          </w:p>
        </w:tc>
        <w:tc>
          <w:tcPr/>
          <w:p>
            <w:pPr>
              <w:pStyle w:val="Compact"/>
              <w:jc w:val="left"/>
            </w:pPr>
            <w:r>
              <w:t xml:space="preserve">112,240,800</w:t>
            </w:r>
          </w:p>
        </w:tc>
        <w:tc>
          <w:tcPr/>
          <w:p>
            <w:pPr>
              <w:pStyle w:val="Compact"/>
              <w:jc w:val="left"/>
            </w:pPr>
            <w:r>
              <w:t xml:space="preserve">20%</w:t>
            </w:r>
          </w:p>
        </w:tc>
      </w:tr>
      <w:tr>
        <w:tc>
          <w:tcPr/>
          <w:p>
            <w:pPr>
              <w:pStyle w:val="Compact"/>
              <w:jc w:val="left"/>
            </w:pPr>
            <w:r>
              <w:t xml:space="preserve">2nd – End of Q1 (September 30, 2025)</w:t>
            </w:r>
          </w:p>
        </w:tc>
        <w:tc>
          <w:tcPr/>
          <w:p>
            <w:pPr>
              <w:pStyle w:val="Compact"/>
              <w:jc w:val="left"/>
            </w:pPr>
            <w:r>
              <w:t xml:space="preserve">October 15, 2025</w:t>
            </w:r>
          </w:p>
        </w:tc>
        <w:tc>
          <w:tcPr/>
          <w:p>
            <w:pPr>
              <w:pStyle w:val="Compact"/>
              <w:jc w:val="left"/>
            </w:pPr>
            <w:r>
              <w:t xml:space="preserve">168,361,200</w:t>
            </w:r>
          </w:p>
        </w:tc>
        <w:tc>
          <w:tcPr/>
          <w:p>
            <w:pPr>
              <w:pStyle w:val="Compact"/>
              <w:jc w:val="left"/>
            </w:pPr>
            <w:r>
              <w:t xml:space="preserve">30%</w:t>
            </w:r>
          </w:p>
        </w:tc>
      </w:tr>
      <w:tr>
        <w:tc>
          <w:tcPr/>
          <w:p>
            <w:pPr>
              <w:pStyle w:val="Compact"/>
              <w:jc w:val="left"/>
            </w:pPr>
            <w:r>
              <w:t xml:space="preserve">3rd – End of Q2 (December 31, 2025)</w:t>
            </w:r>
          </w:p>
        </w:tc>
        <w:tc>
          <w:tcPr/>
          <w:p>
            <w:pPr>
              <w:pStyle w:val="Compact"/>
              <w:jc w:val="left"/>
            </w:pPr>
            <w:r>
              <w:t xml:space="preserve">January 15, 2026</w:t>
            </w:r>
          </w:p>
        </w:tc>
        <w:tc>
          <w:tcPr/>
          <w:p>
            <w:pPr>
              <w:pStyle w:val="Compact"/>
              <w:jc w:val="left"/>
            </w:pPr>
            <w:r>
              <w:t xml:space="preserve">112,240,800</w:t>
            </w:r>
          </w:p>
        </w:tc>
        <w:tc>
          <w:tcPr/>
          <w:p>
            <w:pPr>
              <w:pStyle w:val="Compact"/>
              <w:jc w:val="left"/>
            </w:pPr>
            <w:r>
              <w:t xml:space="preserve">20%</w:t>
            </w:r>
          </w:p>
        </w:tc>
      </w:tr>
      <w:tr>
        <w:tc>
          <w:tcPr/>
          <w:p>
            <w:pPr>
              <w:pStyle w:val="Compact"/>
              <w:jc w:val="left"/>
            </w:pPr>
            <w:r>
              <w:t xml:space="preserve">4th – End of Q3 (March 31, 2026)</w:t>
            </w:r>
          </w:p>
        </w:tc>
        <w:tc>
          <w:tcPr/>
          <w:p>
            <w:pPr>
              <w:pStyle w:val="Compact"/>
              <w:jc w:val="left"/>
            </w:pPr>
            <w:r>
              <w:t xml:space="preserve">April 15, 2026</w:t>
            </w:r>
          </w:p>
        </w:tc>
        <w:tc>
          <w:tcPr/>
          <w:p>
            <w:pPr>
              <w:pStyle w:val="Compact"/>
              <w:jc w:val="left"/>
            </w:pPr>
            <w:r>
              <w:t xml:space="preserve">84,180,600</w:t>
            </w:r>
          </w:p>
        </w:tc>
        <w:tc>
          <w:tcPr/>
          <w:p>
            <w:pPr>
              <w:pStyle w:val="Compact"/>
              <w:jc w:val="left"/>
            </w:pPr>
            <w:r>
              <w:t xml:space="preserve">15%</w:t>
            </w:r>
          </w:p>
        </w:tc>
      </w:tr>
      <w:tr>
        <w:tc>
          <w:tcPr/>
          <w:p>
            <w:pPr>
              <w:pStyle w:val="Compact"/>
              <w:jc w:val="left"/>
            </w:pPr>
            <w:r>
              <w:t xml:space="preserve">5th – Final delivery (June 30, 2026)</w:t>
            </w:r>
          </w:p>
        </w:tc>
        <w:tc>
          <w:tcPr/>
          <w:p>
            <w:pPr>
              <w:pStyle w:val="Compact"/>
              <w:jc w:val="left"/>
            </w:pPr>
            <w:r>
              <w:t xml:space="preserve">July 15, 2026</w:t>
            </w:r>
          </w:p>
        </w:tc>
        <w:tc>
          <w:tcPr/>
          <w:p>
            <w:pPr>
              <w:pStyle w:val="Compact"/>
              <w:jc w:val="left"/>
            </w:pPr>
            <w:r>
              <w:t xml:space="preserve">84,180,600</w:t>
            </w:r>
          </w:p>
        </w:tc>
        <w:tc>
          <w:tcPr/>
          <w:p>
            <w:pPr>
              <w:pStyle w:val="Compact"/>
              <w:jc w:val="left"/>
            </w:pPr>
            <w:r>
              <w:t xml:space="preserve">15%</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Validity:</w:t>
      </w:r>
      <w:r>
        <w:t xml:space="preserve"> </w:t>
      </w:r>
      <w:r>
        <w:t xml:space="preserve">This Quotation Estimate remains valid for thirty (30) calendar days from the date of issuance. After this period, a revised Quotation Estimate may be required due to market fluctuations in Colombia Bogotá.</w:t>
      </w:r>
    </w:p>
    <w:p>
      <w:pPr>
        <w:numPr>
          <w:ilvl w:val="0"/>
          <w:numId w:val="1001"/>
        </w:numPr>
        <w:pStyle w:val="Compact"/>
      </w:pPr>
      <w:r>
        <w:rPr>
          <w:bCs/>
          <w:b/>
        </w:rPr>
        <w:t xml:space="preserve">Contractual Framework:</w:t>
      </w:r>
      <w:r>
        <w:t xml:space="preserve"> </w:t>
      </w:r>
      <w:r>
        <w:t xml:space="preserve">The engagement of the Mathematician shall be governed by a "Contrato de Prestación de Servicios" in accordance with Colombian civil and commercial law (Código Civil and Código de Comercio).</w:t>
      </w:r>
    </w:p>
    <w:p>
      <w:pPr>
        <w:numPr>
          <w:ilvl w:val="0"/>
          <w:numId w:val="1001"/>
        </w:numPr>
        <w:pStyle w:val="Compact"/>
      </w:pPr>
      <w:r>
        <w:rPr>
          <w:bCs/>
          <w:b/>
        </w:rPr>
        <w:t xml:space="preserve">Intellectual Property:</w:t>
      </w:r>
      <w:r>
        <w:t xml:space="preserve"> </w:t>
      </w:r>
      <w:r>
        <w:t xml:space="preserve">All mathematical models, algorithms, proofs, and research outputs developed by the Mathematician during the engagement shall be the exclusive property of the client, as stipulated in the service agreement.</w:t>
      </w:r>
    </w:p>
    <w:p>
      <w:pPr>
        <w:numPr>
          <w:ilvl w:val="0"/>
          <w:numId w:val="1001"/>
        </w:numPr>
        <w:pStyle w:val="Compact"/>
      </w:pPr>
      <w:r>
        <w:rPr>
          <w:bCs/>
          <w:b/>
        </w:rPr>
        <w:t xml:space="preserve">Confidentiality:</w:t>
      </w:r>
      <w:r>
        <w:t xml:space="preserve"> </w:t>
      </w:r>
      <w:r>
        <w:t xml:space="preserve">The Mathematician agrees to maintain strict confidentiality regarding all proprietary data, algorithms, and business strategies of the client, in compliance with Colombia's Ley 1581 de 2012 (Data Protection Law).</w:t>
      </w:r>
    </w:p>
    <w:p>
      <w:pPr>
        <w:numPr>
          <w:ilvl w:val="0"/>
          <w:numId w:val="1001"/>
        </w:numPr>
        <w:pStyle w:val="Compact"/>
      </w:pPr>
      <w:r>
        <w:rPr>
          <w:bCs/>
          <w:b/>
        </w:rPr>
        <w:t xml:space="preserve">Termination:</w:t>
      </w:r>
      <w:r>
        <w:t xml:space="preserve"> </w:t>
      </w:r>
      <w:r>
        <w:t xml:space="preserve">Either party may terminate the agreement with thirty (30) days' written notice. In the event of early termination, the client shall pay for all services rendered up to the termination date.</w:t>
      </w:r>
    </w:p>
    <w:p>
      <w:pPr>
        <w:numPr>
          <w:ilvl w:val="0"/>
          <w:numId w:val="1001"/>
        </w:numPr>
        <w:pStyle w:val="Compact"/>
      </w:pPr>
      <w:r>
        <w:rPr>
          <w:bCs/>
          <w:b/>
        </w:rPr>
        <w:t xml:space="preserve">Dispute Resolution:</w:t>
      </w:r>
      <w:r>
        <w:t xml:space="preserve"> </w:t>
      </w:r>
      <w:r>
        <w:t xml:space="preserve">Any disputes arising from this Quotation Estimate or the subsequent contract shall be resolved through the competent courts of Bogotá D.C., Colombia, or by arbitration before the Cámara de Comercio de Bogotá.</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decrees, or public health emergencies in Colombia.</w:t>
      </w:r>
    </w:p>
    <w:p>
      <w:pPr>
        <w:numPr>
          <w:ilvl w:val="0"/>
          <w:numId w:val="1001"/>
        </w:numPr>
        <w:pStyle w:val="Compact"/>
      </w:pPr>
      <w:r>
        <w:rPr>
          <w:bCs/>
          <w:b/>
        </w:rPr>
        <w:t xml:space="preserve">Tax Compliance:</w:t>
      </w:r>
      <w:r>
        <w:t xml:space="preserve"> </w:t>
      </w:r>
      <w:r>
        <w:t xml:space="preserve">The client is responsible for withholding applicable taxes (Retención en la Fuente, ICA Bogotá) as mandated by the DIAN and the Alcaldía Mayor de Bogotá.</w:t>
      </w:r>
    </w:p>
    <w:bookmarkEnd w:id="25"/>
    <w:bookmarkStart w:id="28" w:name="acceptance-and-authorization"/>
    <w:p>
      <w:pPr>
        <w:pStyle w:val="Heading2"/>
      </w:pPr>
      <w:r>
        <w:t xml:space="preserve">6. Acceptance and Authorization</w:t>
      </w:r>
    </w:p>
    <w:p>
      <w:pPr>
        <w:pStyle w:val="FirstParagraph"/>
      </w:pPr>
      <w:r>
        <w:t xml:space="preserve">By signing below, both parties acknowledge and accept the terms, conditions, and pricing outlined in this Quotation Estimate for the Mathematician services to be performed in Colombia Bogotá. This document serves as the basis for the formal service contract to be executed within ten (10) business days of acceptance.</w:t>
      </w:r>
    </w:p>
    <w:bookmarkStart w:id="26" w:name="prepared-by-mathematician"/>
    <w:p>
      <w:pPr>
        <w:pStyle w:val="Heading3"/>
      </w:pPr>
      <w:r>
        <w:t xml:space="preserve">Prepared By (Mathematician)</w:t>
      </w:r>
    </w:p>
    <w:p>
      <w:pPr>
        <w:pStyle w:val="FirstParagraph"/>
      </w:pPr>
      <w:r>
        <w:t xml:space="preserve">Dr. Alejandro Restrepo M.</w:t>
      </w:r>
    </w:p>
    <w:p>
      <w:pPr>
        <w:pStyle w:val="BodyText"/>
      </w:pPr>
      <w:r>
        <w:t xml:space="preserve">Cédula: 72.456.789 – Bogotá D.C.</w:t>
      </w:r>
    </w:p>
    <w:p>
      <w:pPr>
        <w:pStyle w:val="BodyText"/>
      </w:pPr>
      <w:r>
        <w:t xml:space="preserve">Professional License: Registro Nacional de Profesionales</w:t>
      </w:r>
    </w:p>
    <w:p>
      <w:pPr>
        <w:pStyle w:val="BodyText"/>
      </w:pPr>
      <w:r>
        <w:t xml:space="preserve">Signature &amp; Date</w:t>
      </w:r>
    </w:p>
    <w:bookmarkEnd w:id="26"/>
    <w:bookmarkStart w:id="27" w:name="accepted-by-client"/>
    <w:p>
      <w:pPr>
        <w:pStyle w:val="Heading3"/>
      </w:pPr>
      <w:r>
        <w:t xml:space="preserve">Accepted By (Client)</w:t>
      </w:r>
    </w:p>
    <w:p>
      <w:pPr>
        <w:pStyle w:val="FirstParagraph"/>
      </w:pPr>
      <w:r>
        <w:t xml:space="preserve">Ing. María Fernanda Gutiérrez</w:t>
      </w:r>
    </w:p>
    <w:p>
      <w:pPr>
        <w:pStyle w:val="BodyText"/>
      </w:pPr>
      <w:r>
        <w:t xml:space="preserve">Representante Legal – Ingeniería y Datos S.A.S.</w:t>
      </w:r>
    </w:p>
    <w:p>
      <w:pPr>
        <w:pStyle w:val="BodyText"/>
      </w:pPr>
      <w:r>
        <w:t xml:space="preserve">NIT: 901.234.567-8</w:t>
      </w:r>
    </w:p>
    <w:p>
      <w:pPr>
        <w:pStyle w:val="BodyText"/>
      </w:pPr>
      <w:r>
        <w:t xml:space="preserve">Signature &amp; Date</w:t>
      </w:r>
    </w:p>
    <w:bookmarkEnd w:id="27"/>
    <w:p>
      <w:pPr>
        <w:pStyle w:val="BodyText"/>
      </w:pPr>
      <w:r>
        <w:rPr>
          <w:bCs/>
          <w:b/>
        </w:rPr>
        <w:t xml:space="preserve">Quotation Estimate QE-MATH-BOG-2025-0047</w:t>
      </w:r>
      <w:r>
        <w:t xml:space="preserve"> </w:t>
      </w:r>
      <w:r>
        <w:t xml:space="preserve">| Mathematician Professional Services | Colombia Bogotá D.C.</w:t>
      </w:r>
    </w:p>
    <w:p>
      <w:pPr>
        <w:pStyle w:val="BodyText"/>
      </w:pPr>
      <w:r>
        <w:t xml:space="preserve">This document is generated for commercial purposes and does not constitute a binding contract until formally executed by both parties.</w:t>
      </w:r>
    </w:p>
    <w:p>
      <w:pPr>
        <w:pStyle w:val="BodyText"/>
      </w:pPr>
      <w:r>
        <w:t xml:space="preserve">© 2025 – All rights reserved. Printed in Bogotá, Colombia.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Colombia Bogotá</dc:title>
  <dc:creator/>
  <dc:language>en</dc:language>
  <cp:keywords/>
  <dcterms:created xsi:type="dcterms:W3CDTF">2026-10-10T03:00:09Z</dcterms:created>
  <dcterms:modified xsi:type="dcterms:W3CDTF">2026-10-10T03:00:09Z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