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Mathematician Services — Colombia, Medellín</w:t>
      </w:r>
    </w:p>
    <w:p>
      <w:pPr>
        <w:pStyle w:val="BodyText"/>
      </w:pPr>
      <w:r>
        <w:t xml:space="preserve">Document No. QTE-MED-2025-0472</w:t>
      </w:r>
    </w:p>
    <w:bookmarkEnd w:id="20"/>
    <w:p>
      <w:pPr>
        <w:pStyle w:val="BodyText"/>
      </w:pPr>
      <w:r>
        <w:rPr>
          <w:bCs/>
          <w:b/>
        </w:rPr>
        <w:t xml:space="preserve">Prepared By:</w:t>
      </w:r>
      <w:r>
        <w:t xml:space="preserve"> </w:t>
      </w:r>
      <w:r>
        <w:t xml:space="preserve">Dr. Alejandro Restrepo M. </w:t>
      </w:r>
      <w:r>
        <w:t xml:space="preserve"> </w:t>
      </w:r>
      <w:r>
        <w:t xml:space="preserve">Senior Mathematician &amp; Quantitative Analyst</w:t>
      </w:r>
      <w:r>
        <w:t xml:space="preserve"> </w:t>
      </w:r>
      <w:r>
        <w:t xml:space="preserve">Restrepo &amp; Asociados Consultores</w:t>
      </w:r>
      <w:r>
        <w:t xml:space="preserve"> </w:t>
      </w:r>
      <w:r>
        <w:t xml:space="preserve">Calle 43 # 52-18, Of. 904</w:t>
      </w:r>
      <w:r>
        <w:t xml:space="preserve"> </w:t>
      </w:r>
      <w:r>
        <w:t xml:space="preserve">El Poblado, Medellín, Antioquia</w:t>
      </w:r>
      <w:r>
        <w:t xml:space="preserve"> </w:t>
      </w:r>
      <w:r>
        <w:t xml:space="preserve">Colombia</w:t>
      </w:r>
    </w:p>
    <w:p>
      <w:pPr>
        <w:pStyle w:val="BodyText"/>
      </w:pPr>
      <w:r>
        <w:rPr>
          <w:bCs/>
          <w:b/>
        </w:rPr>
        <w:t xml:space="preserve">Prepared For:</w:t>
      </w:r>
      <w:r>
        <w:t xml:space="preserve"> </w:t>
      </w:r>
      <w:r>
        <w:t xml:space="preserve">Grupo Industrial Andino S.A.S.</w:t>
      </w:r>
      <w:r>
        <w:t xml:space="preserve"> </w:t>
      </w:r>
      <w:r>
        <w:t xml:space="preserve">Attn: Lic. Carolina Vélez, Director of Operations</w:t>
      </w:r>
      <w:r>
        <w:t xml:space="preserve"> </w:t>
      </w:r>
      <w:r>
        <w:t xml:space="preserve">Parque Industrial, Km 12 Vía a Rionegro</w:t>
      </w:r>
      <w:r>
        <w:t xml:space="preserve"> </w:t>
      </w:r>
      <w:r>
        <w:t xml:space="preserve">Medellín, Antioquia</w:t>
      </w:r>
      <w:r>
        <w:t xml:space="preserve"> </w:t>
      </w:r>
      <w:r>
        <w:t xml:space="preserve">Colombia</w:t>
      </w:r>
    </w:p>
    <w:p>
      <w:pPr>
        <w:pStyle w:val="BodyText"/>
      </w:pPr>
      <w:r>
        <w:rPr>
          <w:bCs/>
          <w:b/>
        </w:rPr>
        <w:t xml:space="preserve">Date of Issue:</w:t>
      </w:r>
      <w:r>
        <w:t xml:space="preserve"> </w:t>
      </w:r>
      <w:r>
        <w:t xml:space="preserve">June 12, 2025</w:t>
      </w:r>
      <w:r>
        <w:t xml:space="preserve"> </w:t>
      </w:r>
      <w:r>
        <w:rPr>
          <w:bCs/>
          <w:b/>
        </w:rPr>
        <w:t xml:space="preserve">Valid Until:</w:t>
      </w:r>
      <w:r>
        <w:t xml:space="preserve"> </w:t>
      </w:r>
      <w:r>
        <w:t xml:space="preserve">July 12, 2025</w:t>
      </w:r>
      <w:r>
        <w:t xml:space="preserve"> </w:t>
      </w:r>
      <w:r>
        <w:rPr>
          <w:bCs/>
          <w:b/>
        </w:rPr>
        <w:t xml:space="preserve">Currency:</w:t>
      </w:r>
      <w:r>
        <w:t xml:space="preserve"> </w:t>
      </w:r>
      <w:r>
        <w:t xml:space="preserve">Colombian Peso (COP) / USD</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Restrepo &amp; Asociados Consultores to formally present the professional fees, deliverables, and engagement terms for the services of a</w:t>
      </w:r>
      <w:r>
        <w:t xml:space="preserve"> </w:t>
      </w:r>
      <w:r>
        <w:t xml:space="preserve">Mathematician</w:t>
      </w:r>
      <w:r>
        <w:t xml:space="preserve"> </w:t>
      </w:r>
      <w:r>
        <w:t xml:space="preserve">to be deployed at the Medellín, Colombia operations of Grupo Industrial Andino S.A.S. The scope of this engagement covers advanced quantitative modeling, statistical analysis, optimization of production workflows, and the development of predictive algorithms tailored to the client's manufacturing and logistics divisions based in the Aburrá Valley region of Colombia.</w:t>
      </w:r>
    </w:p>
    <w:p>
      <w:pPr>
        <w:pStyle w:val="BodyText"/>
      </w:pPr>
      <w:r>
        <w:t xml:space="preserve">The</w:t>
      </w:r>
      <w:r>
        <w:t xml:space="preserve"> </w:t>
      </w:r>
      <w:r>
        <w:t xml:space="preserve">Mathematician</w:t>
      </w:r>
      <w:r>
        <w:t xml:space="preserve"> </w:t>
      </w:r>
      <w:r>
        <w:t xml:space="preserve">assigned to this project will operate primarily from the client's headquarters in Medellín, with the possibility of remote collaboration during specific phases. All deliverables will be aligned with Colombian regulatory standards, including compliance with the Superintendencia de Industria y Comercio (SIC) data-handling guidelines and the applicable provisions of Ley 1581 de 2012 (Data Protection Law) where personal data is involved in modeling exercises.</w:t>
      </w:r>
    </w:p>
    <w:bookmarkEnd w:id="21"/>
    <w:bookmarkStart w:id="22" w:name="detailed-line-items-and-fee-schedule"/>
    <w:p>
      <w:pPr>
        <w:pStyle w:val="Heading2"/>
      </w:pPr>
      <w:r>
        <w:t xml:space="preserve">2. Detailed Line Items and Fee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Initial diagnostic assessment of existing mathematical models and data infrastructure at the Medellín plant</w:t>
            </w:r>
          </w:p>
        </w:tc>
        <w:tc>
          <w:tcPr/>
          <w:p>
            <w:pPr>
              <w:pStyle w:val="Compact"/>
              <w:jc w:val="left"/>
            </w:pPr>
            <w:r>
              <w:t xml:space="preserve">5 business days</w:t>
            </w:r>
          </w:p>
        </w:tc>
        <w:tc>
          <w:tcPr/>
          <w:p>
            <w:pPr>
              <w:pStyle w:val="Compact"/>
              <w:jc w:val="left"/>
            </w:pPr>
            <w:r>
              <w:t xml:space="preserve">1,200,000</w:t>
            </w:r>
          </w:p>
        </w:tc>
        <w:tc>
          <w:tcPr/>
          <w:p>
            <w:pPr>
              <w:pStyle w:val="Compact"/>
              <w:jc w:val="left"/>
            </w:pPr>
            <w:r>
              <w:t xml:space="preserve">6,000,000</w:t>
            </w:r>
          </w:p>
        </w:tc>
      </w:tr>
      <w:tr>
        <w:tc>
          <w:tcPr/>
          <w:p>
            <w:pPr>
              <w:pStyle w:val="Compact"/>
              <w:jc w:val="left"/>
            </w:pPr>
            <w:r>
              <w:t xml:space="preserve">02</w:t>
            </w:r>
          </w:p>
        </w:tc>
        <w:tc>
          <w:tcPr/>
          <w:p>
            <w:pPr>
              <w:pStyle w:val="Compact"/>
              <w:jc w:val="left"/>
            </w:pPr>
            <w:r>
              <w:t xml:space="preserve">Development of stochastic optimization models for supply-chain routing across the Antioquia corridor</w:t>
            </w:r>
          </w:p>
        </w:tc>
        <w:tc>
          <w:tcPr/>
          <w:p>
            <w:pPr>
              <w:pStyle w:val="Compact"/>
              <w:jc w:val="left"/>
            </w:pPr>
            <w:r>
              <w:t xml:space="preserve">20 business days</w:t>
            </w:r>
          </w:p>
        </w:tc>
        <w:tc>
          <w:tcPr/>
          <w:p>
            <w:pPr>
              <w:pStyle w:val="Compact"/>
              <w:jc w:val="left"/>
            </w:pPr>
            <w:r>
              <w:t xml:space="preserve">1,500,000</w:t>
            </w:r>
          </w:p>
        </w:tc>
        <w:tc>
          <w:tcPr/>
          <w:p>
            <w:pPr>
              <w:pStyle w:val="Compact"/>
              <w:jc w:val="left"/>
            </w:pPr>
            <w:r>
              <w:t xml:space="preserve">30,000,000</w:t>
            </w:r>
          </w:p>
        </w:tc>
      </w:tr>
      <w:tr>
        <w:tc>
          <w:tcPr/>
          <w:p>
            <w:pPr>
              <w:pStyle w:val="Compact"/>
              <w:jc w:val="left"/>
            </w:pPr>
            <w:r>
              <w:t xml:space="preserve">03</w:t>
            </w:r>
          </w:p>
        </w:tc>
        <w:tc>
          <w:tcPr/>
          <w:p>
            <w:pPr>
              <w:pStyle w:val="Compact"/>
              <w:jc w:val="left"/>
            </w:pPr>
            <w:r>
              <w:t xml:space="preserve">Design and implementation of a Bayesian forecasting framework for quarterly demand planning</w:t>
            </w:r>
          </w:p>
        </w:tc>
        <w:tc>
          <w:tcPr/>
          <w:p>
            <w:pPr>
              <w:pStyle w:val="Compact"/>
              <w:jc w:val="left"/>
            </w:pPr>
            <w:r>
              <w:t xml:space="preserve">15 business days</w:t>
            </w:r>
          </w:p>
        </w:tc>
        <w:tc>
          <w:tcPr/>
          <w:p>
            <w:pPr>
              <w:pStyle w:val="Compact"/>
              <w:jc w:val="left"/>
            </w:pPr>
            <w:r>
              <w:t xml:space="preserve">1,400,000</w:t>
            </w:r>
          </w:p>
        </w:tc>
        <w:tc>
          <w:tcPr/>
          <w:p>
            <w:pPr>
              <w:pStyle w:val="Compact"/>
              <w:jc w:val="left"/>
            </w:pPr>
            <w:r>
              <w:t xml:space="preserve">21,000,000</w:t>
            </w:r>
          </w:p>
        </w:tc>
      </w:tr>
      <w:tr>
        <w:tc>
          <w:tcPr/>
          <w:p>
            <w:pPr>
              <w:pStyle w:val="Compact"/>
              <w:jc w:val="left"/>
            </w:pPr>
            <w:r>
              <w:t xml:space="preserve">04</w:t>
            </w:r>
          </w:p>
        </w:tc>
        <w:tc>
          <w:tcPr/>
          <w:p>
            <w:pPr>
              <w:pStyle w:val="Compact"/>
              <w:jc w:val="left"/>
            </w:pPr>
            <w:r>
              <w:t xml:space="preserve">Training workshops (4 sessions) for internal engineering staff on applied mathematics and numerical methods</w:t>
            </w:r>
          </w:p>
        </w:tc>
        <w:tc>
          <w:tcPr/>
          <w:p>
            <w:pPr>
              <w:pStyle w:val="Compact"/>
              <w:jc w:val="left"/>
            </w:pPr>
            <w:r>
              <w:t xml:space="preserve">4 sessions × 4 hrs</w:t>
            </w:r>
          </w:p>
        </w:tc>
        <w:tc>
          <w:tcPr/>
          <w:p>
            <w:pPr>
              <w:pStyle w:val="Compact"/>
              <w:jc w:val="left"/>
            </w:pPr>
            <w:r>
              <w:t xml:space="preserve">800,000</w:t>
            </w:r>
          </w:p>
        </w:tc>
        <w:tc>
          <w:tcPr/>
          <w:p>
            <w:pPr>
              <w:pStyle w:val="Compact"/>
              <w:jc w:val="left"/>
            </w:pPr>
            <w:r>
              <w:t xml:space="preserve">3,200,000</w:t>
            </w:r>
          </w:p>
        </w:tc>
      </w:tr>
      <w:tr>
        <w:tc>
          <w:tcPr/>
          <w:p>
            <w:pPr>
              <w:pStyle w:val="Compact"/>
              <w:jc w:val="left"/>
            </w:pPr>
            <w:r>
              <w:t xml:space="preserve">05</w:t>
            </w:r>
          </w:p>
        </w:tc>
        <w:tc>
          <w:tcPr/>
          <w:p>
            <w:pPr>
              <w:pStyle w:val="Compact"/>
              <w:jc w:val="left"/>
            </w:pPr>
            <w:r>
              <w:t xml:space="preserve">Documentation, peer-review, and final technical report in Spanish and English</w:t>
            </w:r>
          </w:p>
        </w:tc>
        <w:tc>
          <w:tcPr/>
          <w:p>
            <w:pPr>
              <w:pStyle w:val="Compact"/>
              <w:jc w:val="left"/>
            </w:pPr>
            <w:r>
              <w:t xml:space="preserve">10 business days</w:t>
            </w:r>
          </w:p>
        </w:tc>
        <w:tc>
          <w:tcPr/>
          <w:p>
            <w:pPr>
              <w:pStyle w:val="Compact"/>
              <w:jc w:val="left"/>
            </w:pPr>
            <w:r>
              <w:t xml:space="preserve">1,100,000</w:t>
            </w:r>
          </w:p>
        </w:tc>
        <w:tc>
          <w:tcPr/>
          <w:p>
            <w:pPr>
              <w:pStyle w:val="Compact"/>
              <w:jc w:val="left"/>
            </w:pPr>
            <w:r>
              <w:t xml:space="preserve">11,000,000</w:t>
            </w:r>
          </w:p>
        </w:tc>
      </w:tr>
      <w:tr>
        <w:tc>
          <w:tcPr/>
          <w:p>
            <w:pPr>
              <w:pStyle w:val="Compact"/>
              <w:jc w:val="left"/>
            </w:pPr>
            <w:r>
              <w:t xml:space="preserve">06</w:t>
            </w:r>
          </w:p>
        </w:tc>
        <w:tc>
          <w:tcPr/>
          <w:p>
            <w:pPr>
              <w:pStyle w:val="Compact"/>
              <w:jc w:val="left"/>
            </w:pPr>
            <w:r>
              <w:t xml:space="preserve">Post-delivery technical support and model recalibration (on-site in Medellín)</w:t>
            </w:r>
          </w:p>
        </w:tc>
        <w:tc>
          <w:tcPr/>
          <w:p>
            <w:pPr>
              <w:pStyle w:val="Compact"/>
              <w:jc w:val="left"/>
            </w:pPr>
            <w:r>
              <w:t xml:space="preserve">5 business days</w:t>
            </w:r>
          </w:p>
        </w:tc>
        <w:tc>
          <w:tcPr/>
          <w:p>
            <w:pPr>
              <w:pStyle w:val="Compact"/>
              <w:jc w:val="left"/>
            </w:pPr>
            <w:r>
              <w:t xml:space="preserve">1,000,000</w:t>
            </w:r>
          </w:p>
        </w:tc>
        <w:tc>
          <w:tcPr/>
          <w:p>
            <w:pPr>
              <w:pStyle w:val="Compact"/>
              <w:jc w:val="left"/>
            </w:pPr>
            <w:r>
              <w:t xml:space="preserve">5,000,000</w:t>
            </w:r>
          </w:p>
        </w:tc>
      </w:tr>
      <w:tr>
        <w:tc>
          <w:tcPr>
            <w:gridSpan w:val="4"/>
          </w:tcPr>
          <w:p>
            <w:pPr>
              <w:pStyle w:val="Compact"/>
              <w:jc w:val="left"/>
            </w:pPr>
            <w:r>
              <w:t xml:space="preserve">TOTAL ESTIMATED FEE (before IVA)</w:t>
            </w:r>
          </w:p>
        </w:tc>
        <w:tc>
          <w:tcPr/>
          <w:p>
            <w:pPr>
              <w:pStyle w:val="Compact"/>
              <w:jc w:val="left"/>
            </w:pPr>
            <w:r>
              <w:t xml:space="preserve">76,200,000</w:t>
            </w:r>
          </w:p>
        </w:tc>
      </w:tr>
      <w:tr>
        <w:tc>
          <w:tcPr>
            <w:gridSpan w:val="4"/>
          </w:tcPr>
          <w:p>
            <w:pPr>
              <w:pStyle w:val="Compact"/>
              <w:jc w:val="left"/>
            </w:pPr>
            <w:r>
              <w:t xml:space="preserve">IVA (19% – Colombian Value Added Tax)</w:t>
            </w:r>
          </w:p>
        </w:tc>
        <w:tc>
          <w:tcPr/>
          <w:p>
            <w:pPr>
              <w:pStyle w:val="Compact"/>
              <w:jc w:val="left"/>
            </w:pPr>
            <w:r>
              <w:t xml:space="preserve">14,478,000</w:t>
            </w:r>
          </w:p>
        </w:tc>
      </w:tr>
      <w:tr>
        <w:tc>
          <w:tcPr>
            <w:gridSpan w:val="4"/>
          </w:tcPr>
          <w:p>
            <w:pPr>
              <w:pStyle w:val="Compact"/>
              <w:jc w:val="left"/>
            </w:pPr>
            <w:r>
              <w:t xml:space="preserve">GRAND TOTAL (COP)</w:t>
            </w:r>
          </w:p>
        </w:tc>
        <w:tc>
          <w:tcPr/>
          <w:p>
            <w:pPr>
              <w:pStyle w:val="Compact"/>
              <w:jc w:val="left"/>
            </w:pPr>
            <w:r>
              <w:t xml:space="preserve">90,678,000</w:t>
            </w:r>
          </w:p>
        </w:tc>
      </w:tr>
      <w:tr>
        <w:tc>
          <w:tcPr>
            <w:gridSpan w:val="4"/>
          </w:tcPr>
          <w:p>
            <w:pPr>
              <w:pStyle w:val="Compact"/>
              <w:jc w:val="left"/>
            </w:pPr>
            <w:r>
              <w:t xml:space="preserve">Approximate USD Equivalent (rate: 3,900 COP/USD)</w:t>
            </w:r>
          </w:p>
        </w:tc>
        <w:tc>
          <w:tcPr/>
          <w:p>
            <w:pPr>
              <w:pStyle w:val="Compact"/>
              <w:jc w:val="left"/>
            </w:pPr>
            <w:r>
              <w:t xml:space="preserve">≈ USD 23,251</w:t>
            </w:r>
          </w:p>
        </w:tc>
      </w:tr>
    </w:tbl>
    <w:bookmarkEnd w:id="22"/>
    <w:bookmarkStart w:id="23" w:name="X79ac403e71d6532b8fd8b6bdc949a768fd8e9d8"/>
    <w:p>
      <w:pPr>
        <w:pStyle w:val="Heading2"/>
      </w:pPr>
      <w:r>
        <w:t xml:space="preserve">3. Qualifications of the Assigned Mathematician</w:t>
      </w:r>
    </w:p>
    <w:p>
      <w:pPr>
        <w:pStyle w:val="FirstParagraph"/>
      </w:pPr>
      <w:r>
        <w:t xml:space="preserve">The</w:t>
      </w:r>
      <w:r>
        <w:t xml:space="preserve"> </w:t>
      </w:r>
      <w:r>
        <w:t xml:space="preserve">Mathematician</w:t>
      </w:r>
      <w:r>
        <w:t xml:space="preserve"> </w:t>
      </w:r>
      <w:r>
        <w:t xml:space="preserve">designated for this engagement holds a Ph.D. in Applied Mathematics from the Universidad de los Andes (Bogotá) and a Master's degree in Operations Research from the Universidad Nacional de Colombia. He possesses over twelve years of professional experience in quantitative consulting within the Colombian industrial sector, with specific expertise in nonlinear optimization, Monte Carlo simulation, and machine-learning-assisted statistical inference. His prior engagements include projects for the Medellín Metropolitan Area's public transit authority and two multinational manufacturing firms operating in the EPM industrial park.</w:t>
      </w:r>
    </w:p>
    <w:bookmarkEnd w:id="23"/>
    <w:bookmarkStart w:id="24" w:name="payment-terms-and-conditions"/>
    <w:p>
      <w:pPr>
        <w:pStyle w:val="Heading2"/>
      </w:pPr>
      <w:r>
        <w:t xml:space="preserve">4. Payment Terms and Conditions</w:t>
      </w:r>
    </w:p>
    <w:p>
      <w:pPr>
        <w:pStyle w:val="FirstParagraph"/>
      </w:pPr>
      <w:r>
        <w:t xml:space="preserve">Payment for the services outlined in this</w:t>
      </w:r>
      <w:r>
        <w:t xml:space="preserve"> </w:t>
      </w:r>
      <w:r>
        <w:t xml:space="preserve">Quotation Estimate</w:t>
      </w:r>
      <w:r>
        <w:t xml:space="preserve"> </w:t>
      </w:r>
      <w:r>
        <w:t xml:space="preserve">shall be structured as follows: 30% upon execution of the service contract, 40% upon delivery of the optimization and forecasting models (Items 02 and 03), and 30% upon final acceptance of the technical report and completion of post-delivery support. All invoices will be issued in Colombian Pesos and are payable within fifteen (15) calendar days of the invoice date via bank transfer to the account designated by Restrepo &amp; Asociados Consultores in Medellín. Late payments will accrue interest at the maximum rate permitted under Colombian commercial law (Ley 1341 de 2009).</w:t>
      </w:r>
    </w:p>
    <w:bookmarkEnd w:id="24"/>
    <w:bookmarkStart w:id="25" w:name="validity-and-acceptance"/>
    <w:p>
      <w:pPr>
        <w:pStyle w:val="Heading2"/>
      </w:pPr>
      <w:r>
        <w:t xml:space="preserve">5. Validity and Acceptance</w:t>
      </w:r>
    </w:p>
    <w:p>
      <w:pPr>
        <w:pStyle w:val="FirstParagraph"/>
      </w:pPr>
      <w:r>
        <w:t xml:space="preserve">This</w:t>
      </w:r>
      <w:r>
        <w:t xml:space="preserve"> </w:t>
      </w:r>
      <w:r>
        <w:t xml:space="preserve">Quotation Estimate</w:t>
      </w:r>
      <w:r>
        <w:t xml:space="preserve"> </w:t>
      </w:r>
      <w:r>
        <w:t xml:space="preserve">is valid for thirty (30) calendar days from the date of issue. Should the client wish to proceed, a formal service agreement will be drafted based on the terms herein. The</w:t>
      </w:r>
      <w:r>
        <w:t xml:space="preserve"> </w:t>
      </w:r>
      <w:r>
        <w:t xml:space="preserve">Mathematician</w:t>
      </w:r>
      <w:r>
        <w:t xml:space="preserve"> </w:t>
      </w:r>
      <w:r>
        <w:t xml:space="preserve">will be available to commence work no earlier than ten (10) business days after contract signature, subject to a non-compete cooling period with any prior client. All work performed in Colombia, Medellín, will be governed by the Civil Code of Colombia and the applicable provisions of the Colombian Commercial Code.</w:t>
      </w:r>
    </w:p>
    <w:bookmarkEnd w:id="25"/>
    <w:bookmarkStart w:id="26" w:name="X6d3307a7ddfa67e1099f7e91d019266e60a152a"/>
    <w:p>
      <w:pPr>
        <w:pStyle w:val="Heading2"/>
      </w:pPr>
      <w:r>
        <w:t xml:space="preserve">6. Confidentiality and Intellectual Property</w:t>
      </w:r>
    </w:p>
    <w:p>
      <w:pPr>
        <w:pStyle w:val="FirstParagraph"/>
      </w:pPr>
      <w:r>
        <w:t xml:space="preserve">All data, proprietary information, and intermediate results generated during the engagement will be treated as strictly confidential. The</w:t>
      </w:r>
      <w:r>
        <w:t xml:space="preserve"> </w:t>
      </w:r>
      <w:r>
        <w:t xml:space="preserve">Mathematician</w:t>
      </w:r>
      <w:r>
        <w:t xml:space="preserve"> </w:t>
      </w:r>
      <w:r>
        <w:t xml:space="preserve">and Restrepo &amp; Asociados Consultores agree that all final models, code, and documentation developed specifically for Grupo Industrial Andino S.A.S. shall become the exclusive intellectual property of the client upon full payment. A mutual Non-Disclosure Agreement (NDA) will be executed prior to the commencement of any data access in Medellín.</w:t>
      </w:r>
    </w:p>
    <w:bookmarkEnd w:id="26"/>
    <w:bookmarkStart w:id="27" w:name="assumptions-and-exclusions"/>
    <w:p>
      <w:pPr>
        <w:pStyle w:val="Heading2"/>
      </w:pPr>
      <w:r>
        <w:t xml:space="preserve">7. Assumptions and Exclusions</w:t>
      </w:r>
    </w:p>
    <w:p>
      <w:pPr>
        <w:pStyle w:val="FirstParagraph"/>
      </w:pPr>
      <w:r>
        <w:t xml:space="preserve">This</w:t>
      </w:r>
      <w:r>
        <w:t xml:space="preserve"> </w:t>
      </w:r>
      <w:r>
        <w:t xml:space="preserve">Quotation Estimate</w:t>
      </w:r>
      <w:r>
        <w:t xml:space="preserve"> </w:t>
      </w:r>
      <w:r>
        <w:t xml:space="preserve">assumes that the client will provide timely access to all necessary historical datasets, on-site workspace, and computing infrastructure at the Medellín facility. Travel expenses beyond the Aburrá Valley metro area, overtime beyond the agreed business-day schedule, and any scope changes exceeding 10% of the original deliverables are excluded and will be subject to a supplementary quotation.</w:t>
      </w:r>
    </w:p>
    <w:p>
      <w:pPr>
        <w:pStyle w:val="BodyText"/>
      </w:pPr>
      <w:r>
        <w:rPr>
          <w:bCs/>
          <w:b/>
        </w:rPr>
        <w:t xml:space="preserve">Dr. Alejandro Restrepo M.</w:t>
      </w:r>
      <w:r>
        <w:br/>
      </w:r>
      <w:r>
        <w:t xml:space="preserve">Senior Mathematician &amp; Consultant</w:t>
      </w:r>
      <w:r>
        <w:br/>
      </w:r>
      <w:r>
        <w:t xml:space="preserve">Restrepo &amp; Asociados Consultores</w:t>
      </w:r>
      <w:r>
        <w:br/>
      </w:r>
      <w:r>
        <w:t xml:space="preserve">Medellín, Colombia</w:t>
      </w:r>
    </w:p>
    <w:p>
      <w:pPr>
        <w:pStyle w:val="BodyText"/>
      </w:pPr>
      <w:r>
        <w:rPr>
          <w:bCs/>
          <w:b/>
        </w:rPr>
        <w:t xml:space="preserve">Lic. Carolina Vélez</w:t>
      </w:r>
      <w:r>
        <w:br/>
      </w:r>
      <w:r>
        <w:t xml:space="preserve">Director of Operations</w:t>
      </w:r>
      <w:r>
        <w:br/>
      </w:r>
      <w:r>
        <w:t xml:space="preserve">Grupo Industrial Andino S.A.S.</w:t>
      </w:r>
      <w:r>
        <w:br/>
      </w:r>
      <w:r>
        <w:t xml:space="preserve">Medellín, Colombia</w:t>
      </w:r>
    </w:p>
    <w:p>
      <w:pPr>
        <w:pStyle w:val="BodyText"/>
      </w:pPr>
      <w:r>
        <w:t xml:space="preserve">This Quotation Estimate was prepared for Grupo Industrial Andino S.A.S. in Medellín, Colombia.</w:t>
      </w:r>
      <w:r>
        <w:t xml:space="preserve"> </w:t>
      </w:r>
      <w:r>
        <w:t xml:space="preserve">It does not constitute a binding contract until both parties execute a formal service agreement.</w:t>
      </w:r>
      <w:r>
        <w:t xml:space="preserve"> </w:t>
      </w:r>
      <w:r>
        <w:t xml:space="preserve">© 2025 Restrepo &amp; Asociados Consultores.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Colombia Medellín</dc:title>
  <dc:creator/>
  <dc:language>en</dc:language>
  <cp:keywords/>
  <dcterms:created xsi:type="dcterms:W3CDTF">2026-10-10T05:50:25Z</dcterms:created>
  <dcterms:modified xsi:type="dcterms:W3CDTF">2026-10-10T05:50:25Z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