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Mathematician</w:t>
      </w:r>
      <w:r>
        <w:t xml:space="preserve"> </w:t>
      </w:r>
      <w:r>
        <w:t xml:space="preserve">Services</w:t>
      </w:r>
      <w:r>
        <w:t xml:space="preserve"> </w:t>
      </w:r>
      <w:r>
        <w:t xml:space="preserve">-</w:t>
      </w:r>
      <w:r>
        <w:t xml:space="preserve"> </w:t>
      </w:r>
      <w:r>
        <w:t xml:space="preserve">Egypt</w:t>
      </w:r>
      <w:r>
        <w:t xml:space="preserve"> </w:t>
      </w:r>
      <w:r>
        <w:t xml:space="preserve">Cairo</w:t>
      </w:r>
    </w:p>
    <w:bookmarkStart w:id="20" w:name="quotation-estimate"/>
    <w:p>
      <w:pPr>
        <w:pStyle w:val="Heading1"/>
      </w:pPr>
      <w:r>
        <w:t xml:space="preserve">QUOTATION ESTIMATE</w:t>
      </w:r>
    </w:p>
    <w:p>
      <w:pPr>
        <w:pStyle w:val="FirstParagraph"/>
      </w:pPr>
      <w:r>
        <w:t xml:space="preserve">Professional Mathematician Services — Egypt Cairo</w:t>
      </w:r>
    </w:p>
    <w:p>
      <w:pPr>
        <w:pStyle w:val="BodyText"/>
      </w:pPr>
      <w:r>
        <w:t xml:space="preserve">Al-Nile Academic &amp; Scientific Consulting LLC</w:t>
      </w:r>
    </w:p>
    <w:p>
      <w:pPr>
        <w:pStyle w:val="BodyText"/>
      </w:pPr>
      <w:r>
        <w:t xml:space="preserve">12 Tahrir Square, Downtown, Cairo, Egypt 11511 | Tel: +20 2 2578 4432 | Email: estimates@alnile-consulting.eg</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QTE-EGY-CAI-2025-0487</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 Until</w:t>
            </w:r>
          </w:p>
        </w:tc>
        <w:tc>
          <w:tcPr/>
          <w:p>
            <w:pPr>
              <w:pStyle w:val="Compact"/>
              <w:jc w:val="left"/>
            </w:pPr>
            <w:r>
              <w:t xml:space="preserve">14 July 2025 (30 calendar days)</w:t>
            </w:r>
          </w:p>
        </w:tc>
      </w:tr>
      <w:tr>
        <w:tc>
          <w:tcPr/>
          <w:p>
            <w:pPr>
              <w:pStyle w:val="Compact"/>
              <w:jc w:val="left"/>
            </w:pPr>
            <w:r>
              <w:t xml:space="preserve">Client Name</w:t>
            </w:r>
          </w:p>
        </w:tc>
        <w:tc>
          <w:tcPr/>
          <w:p>
            <w:pPr>
              <w:pStyle w:val="Compact"/>
              <w:jc w:val="left"/>
            </w:pPr>
            <w:r>
              <w:t xml:space="preserve">[Client Organization Name], Cairo, Egypt</w:t>
            </w:r>
          </w:p>
        </w:tc>
      </w:tr>
      <w:tr>
        <w:tc>
          <w:tcPr/>
          <w:p>
            <w:pPr>
              <w:pStyle w:val="Compact"/>
              <w:jc w:val="left"/>
            </w:pPr>
            <w:r>
              <w:t xml:space="preserve">Client Address</w:t>
            </w:r>
          </w:p>
        </w:tc>
        <w:tc>
          <w:tcPr/>
          <w:p>
            <w:pPr>
              <w:pStyle w:val="Compact"/>
              <w:jc w:val="left"/>
            </w:pPr>
            <w:r>
              <w:t xml:space="preserve">[Street, District], Cairo, Egypt</w:t>
            </w:r>
          </w:p>
        </w:tc>
      </w:tr>
      <w:tr>
        <w:tc>
          <w:tcPr/>
          <w:p>
            <w:pPr>
              <w:pStyle w:val="Compact"/>
              <w:jc w:val="left"/>
            </w:pPr>
            <w:r>
              <w:t xml:space="preserve">Prepared By</w:t>
            </w:r>
          </w:p>
        </w:tc>
        <w:tc>
          <w:tcPr/>
          <w:p>
            <w:pPr>
              <w:pStyle w:val="Compact"/>
              <w:jc w:val="left"/>
            </w:pPr>
            <w:r>
              <w:t xml:space="preserve">Dr. Amira Hassan, Senior Mathematician &amp; Lead Consultant</w:t>
            </w:r>
          </w:p>
        </w:tc>
      </w:tr>
      <w:tr>
        <w:tc>
          <w:tcPr/>
          <w:p>
            <w:pPr>
              <w:pStyle w:val="Compact"/>
              <w:jc w:val="left"/>
            </w:pPr>
            <w:r>
              <w:t xml:space="preserve">Project Location</w:t>
            </w:r>
          </w:p>
        </w:tc>
        <w:tc>
          <w:tcPr/>
          <w:p>
            <w:pPr>
              <w:pStyle w:val="Compact"/>
              <w:jc w:val="left"/>
            </w:pPr>
            <w:r>
              <w:t xml:space="preserve">Cairo, Egypt (On-site and Remote Hybrid)</w:t>
            </w:r>
          </w:p>
        </w:tc>
      </w:tr>
    </w:tbl>
    <w:bookmarkStart w:id="21" w:name="purpose-of-this-quotation-estimate"/>
    <w:p>
      <w:pPr>
        <w:pStyle w:val="Heading2"/>
      </w:pPr>
      <w:r>
        <w:t xml:space="preserve">1. Purpose of This Quotation Estimate</w:t>
      </w:r>
    </w:p>
    <w:p>
      <w:pPr>
        <w:pStyle w:val="FirstParagraph"/>
      </w:pPr>
      <w:r>
        <w:t xml:space="preserve">This Quotation Estimate is issued by Al-Nile Academic &amp; Scientific Consulting LLC to formally propose the engagement of a qualified</w:t>
      </w:r>
      <w:r>
        <w:t xml:space="preserve"> </w:t>
      </w:r>
      <w:r>
        <w:t xml:space="preserve">Mathematician</w:t>
      </w:r>
      <w:r>
        <w:t xml:space="preserve"> </w:t>
      </w:r>
      <w:r>
        <w:t xml:space="preserve">to deliver specialized quantitative analysis, modeling, and research support services within the city of</w:t>
      </w:r>
      <w:r>
        <w:t xml:space="preserve"> </w:t>
      </w:r>
      <w:r>
        <w:t xml:space="preserve">Egypt Cairo</w:t>
      </w:r>
      <w:r>
        <w:t xml:space="preserve">. This document outlines the full scope of work, deliverables, professional fees, and commercial terms governing the Mathematician's engagement. All pricing is denominated in Egyptian Pounds (EGP) unless otherwise stated, and all services shall be rendered in accordance with the professional standards expected of a Mathematician operating within the academic and industrial landscape of Egypt Cairo.</w:t>
      </w:r>
    </w:p>
    <w:bookmarkEnd w:id="21"/>
    <w:bookmarkStart w:id="22" w:name="Xe8683cc2764cb91c1d133ffa447a529d0e21d03"/>
    <w:p>
      <w:pPr>
        <w:pStyle w:val="Heading2"/>
      </w:pPr>
      <w:r>
        <w:t xml:space="preserve">2. Scope of Work — Mathematician Services in Egypt Cairo</w:t>
      </w:r>
    </w:p>
    <w:p>
      <w:pPr>
        <w:pStyle w:val="FirstParagraph"/>
      </w:pPr>
      <w:r>
        <w:t xml:space="preserve">The engaged Mathematician shall provide the following services to the Client, all conducted primarily at the Client's premises in Egypt Cairo or via secure remote collaboration as agreed:</w:t>
      </w:r>
    </w:p>
    <w:p>
      <w:pPr>
        <w:numPr>
          <w:ilvl w:val="0"/>
          <w:numId w:val="1001"/>
        </w:numPr>
        <w:pStyle w:val="Compact"/>
      </w:pPr>
      <w:r>
        <w:rPr>
          <w:bCs/>
          <w:b/>
        </w:rPr>
        <w:t xml:space="preserve">Applied Mathematical Modeling:</w:t>
      </w:r>
      <w:r>
        <w:t xml:space="preserve"> </w:t>
      </w:r>
      <w:r>
        <w:t xml:space="preserve">Development and calibration of stochastic and deterministic models tailored to the Client's operational data, with all assumptions documented and peer-reviewed within the Egypt Cairo academic framework.</w:t>
      </w:r>
    </w:p>
    <w:p>
      <w:pPr>
        <w:numPr>
          <w:ilvl w:val="0"/>
          <w:numId w:val="1001"/>
        </w:numPr>
        <w:pStyle w:val="Compact"/>
      </w:pPr>
      <w:r>
        <w:rPr>
          <w:bCs/>
          <w:b/>
        </w:rPr>
        <w:t xml:space="preserve">Statistical Analysis &amp; Data Interpretation:</w:t>
      </w:r>
      <w:r>
        <w:t xml:space="preserve"> </w:t>
      </w:r>
      <w:r>
        <w:t xml:space="preserve">Comprehensive analysis of datasets using advanced Bayesian and frequentist methods, producing reproducible results suitable for regulatory submission in Egypt.</w:t>
      </w:r>
    </w:p>
    <w:p>
      <w:pPr>
        <w:numPr>
          <w:ilvl w:val="0"/>
          <w:numId w:val="1001"/>
        </w:numPr>
        <w:pStyle w:val="Compact"/>
      </w:pPr>
      <w:r>
        <w:rPr>
          <w:bCs/>
          <w:b/>
        </w:rPr>
        <w:t xml:space="preserve">Optimization &amp; Operations Research:</w:t>
      </w:r>
      <w:r>
        <w:t xml:space="preserve"> </w:t>
      </w:r>
      <w:r>
        <w:t xml:space="preserve">Formulation and solution of linear, nonlinear, and integer programming problems to optimize the Client's resource allocation across its Egypt Cairo facilities.</w:t>
      </w:r>
    </w:p>
    <w:p>
      <w:pPr>
        <w:numPr>
          <w:ilvl w:val="0"/>
          <w:numId w:val="1001"/>
        </w:numPr>
        <w:pStyle w:val="Compact"/>
      </w:pPr>
      <w:r>
        <w:rPr>
          <w:bCs/>
          <w:b/>
        </w:rPr>
        <w:t xml:space="preserve">Academic &amp; Technical Reporting:</w:t>
      </w:r>
      <w:r>
        <w:t xml:space="preserve"> </w:t>
      </w:r>
      <w:r>
        <w:t xml:space="preserve">Preparation of formal mathematical documentation, including proofs, derivations, and technical appendices, formatted to meet the standards of Egyptian academic institutions and the National Authority for Remote and Digital Learning in Cairo.</w:t>
      </w:r>
    </w:p>
    <w:p>
      <w:pPr>
        <w:numPr>
          <w:ilvl w:val="0"/>
          <w:numId w:val="1001"/>
        </w:numPr>
        <w:pStyle w:val="Compact"/>
      </w:pPr>
      <w:r>
        <w:rPr>
          <w:bCs/>
          <w:b/>
        </w:rPr>
        <w:t xml:space="preserve">Mentorship &amp; Training:</w:t>
      </w:r>
      <w:r>
        <w:t xml:space="preserve"> </w:t>
      </w:r>
      <w:r>
        <w:t xml:space="preserve">Delivery of up to twenty (20) hours of in-person training sessions in Egypt Cairo for the Client's internal team on mathematical methods, software tools (MATLAB, Python/NumPy, R), and best practices in quantitative reasoning.</w:t>
      </w:r>
    </w:p>
    <w:bookmarkEnd w:id="22"/>
    <w:bookmarkStart w:id="23" w:name="detailed-quotation-estimate-line-items"/>
    <w:p>
      <w:pPr>
        <w:pStyle w:val="Heading2"/>
      </w:pPr>
      <w:r>
        <w:t xml:space="preserve">3. Detailed Quotation Estimate — Line Items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Mathematician Service</w:t>
            </w:r>
          </w:p>
        </w:tc>
        <w:tc>
          <w:tcPr/>
          <w:p>
            <w:pPr>
              <w:pStyle w:val="Compact"/>
              <w:jc w:val="left"/>
            </w:pPr>
            <w:r>
              <w:t xml:space="preserve">Duration / Qty</w:t>
            </w:r>
          </w:p>
        </w:tc>
        <w:tc>
          <w:tcPr/>
          <w:p>
            <w:pPr>
              <w:pStyle w:val="Compact"/>
              <w:jc w:val="left"/>
            </w:pPr>
            <w:r>
              <w:t xml:space="preserve">Unit Rate (EGP)</w:t>
            </w:r>
          </w:p>
        </w:tc>
        <w:tc>
          <w:tcPr/>
          <w:p>
            <w:pPr>
              <w:pStyle w:val="Compact"/>
              <w:jc w:val="left"/>
            </w:pPr>
            <w:r>
              <w:t xml:space="preserve">Amount (EGP)</w:t>
            </w:r>
          </w:p>
        </w:tc>
      </w:tr>
      <w:tr>
        <w:tc>
          <w:tcPr/>
          <w:p>
            <w:pPr>
              <w:pStyle w:val="Compact"/>
              <w:jc w:val="left"/>
            </w:pPr>
            <w:r>
              <w:t xml:space="preserve">01</w:t>
            </w:r>
          </w:p>
        </w:tc>
        <w:tc>
          <w:tcPr/>
          <w:p>
            <w:pPr>
              <w:pStyle w:val="Compact"/>
              <w:jc w:val="left"/>
            </w:pPr>
            <w:r>
              <w:t xml:space="preserve">Initial consultation and problem scoping session in Egypt Cairo (on-site, Tahrir Square office or Client premises)</w:t>
            </w:r>
          </w:p>
        </w:tc>
        <w:tc>
          <w:tcPr/>
          <w:p>
            <w:pPr>
              <w:pStyle w:val="Compact"/>
              <w:jc w:val="left"/>
            </w:pPr>
            <w:r>
              <w:t xml:space="preserve">1 session (4 hrs)</w:t>
            </w:r>
          </w:p>
        </w:tc>
        <w:tc>
          <w:tcPr/>
          <w:p>
            <w:pPr>
              <w:pStyle w:val="Compact"/>
              <w:jc w:val="left"/>
            </w:pPr>
            <w:r>
              <w:t xml:space="preserve">4,500</w:t>
            </w:r>
          </w:p>
        </w:tc>
        <w:tc>
          <w:tcPr/>
          <w:p>
            <w:pPr>
              <w:pStyle w:val="Compact"/>
              <w:jc w:val="left"/>
            </w:pPr>
            <w:r>
              <w:t xml:space="preserve">4,500</w:t>
            </w:r>
          </w:p>
        </w:tc>
      </w:tr>
      <w:tr>
        <w:tc>
          <w:tcPr/>
          <w:p>
            <w:pPr>
              <w:pStyle w:val="Compact"/>
              <w:jc w:val="left"/>
            </w:pPr>
            <w:r>
              <w:t xml:space="preserve">02</w:t>
            </w:r>
          </w:p>
        </w:tc>
        <w:tc>
          <w:tcPr/>
          <w:p>
            <w:pPr>
              <w:pStyle w:val="Compact"/>
              <w:jc w:val="left"/>
            </w:pPr>
            <w:r>
              <w:t xml:space="preserve">Mathematical model development — stochastic simulation framework for supply-chain optimization</w:t>
            </w:r>
          </w:p>
        </w:tc>
        <w:tc>
          <w:tcPr/>
          <w:p>
            <w:pPr>
              <w:pStyle w:val="Compact"/>
              <w:jc w:val="left"/>
            </w:pPr>
            <w:r>
              <w:t xml:space="preserve">60 hours</w:t>
            </w:r>
          </w:p>
        </w:tc>
        <w:tc>
          <w:tcPr/>
          <w:p>
            <w:pPr>
              <w:pStyle w:val="Compact"/>
              <w:jc w:val="left"/>
            </w:pPr>
            <w:r>
              <w:t xml:space="preserve">1,200</w:t>
            </w:r>
          </w:p>
        </w:tc>
        <w:tc>
          <w:tcPr/>
          <w:p>
            <w:pPr>
              <w:pStyle w:val="Compact"/>
              <w:jc w:val="left"/>
            </w:pPr>
            <w:r>
              <w:t xml:space="preserve">72,000</w:t>
            </w:r>
          </w:p>
        </w:tc>
      </w:tr>
      <w:tr>
        <w:tc>
          <w:tcPr/>
          <w:p>
            <w:pPr>
              <w:pStyle w:val="Compact"/>
              <w:jc w:val="left"/>
            </w:pPr>
            <w:r>
              <w:t xml:space="preserve">03</w:t>
            </w:r>
          </w:p>
        </w:tc>
        <w:tc>
          <w:tcPr/>
          <w:p>
            <w:pPr>
              <w:pStyle w:val="Compact"/>
              <w:jc w:val="left"/>
            </w:pPr>
            <w:r>
              <w:t xml:space="preserve">Statistical analysis of historical operational data (minimum 5 years) with confidence-interval reporting</w:t>
            </w:r>
          </w:p>
        </w:tc>
        <w:tc>
          <w:tcPr/>
          <w:p>
            <w:pPr>
              <w:pStyle w:val="Compact"/>
              <w:jc w:val="left"/>
            </w:pPr>
            <w:r>
              <w:t xml:space="preserve">40 hours</w:t>
            </w:r>
          </w:p>
        </w:tc>
        <w:tc>
          <w:tcPr/>
          <w:p>
            <w:pPr>
              <w:pStyle w:val="Compact"/>
              <w:jc w:val="left"/>
            </w:pPr>
            <w:r>
              <w:t xml:space="preserve">1,200</w:t>
            </w:r>
          </w:p>
        </w:tc>
        <w:tc>
          <w:tcPr/>
          <w:p>
            <w:pPr>
              <w:pStyle w:val="Compact"/>
              <w:jc w:val="left"/>
            </w:pPr>
            <w:r>
              <w:t xml:space="preserve">48,000</w:t>
            </w:r>
          </w:p>
        </w:tc>
      </w:tr>
      <w:tr>
        <w:tc>
          <w:tcPr/>
          <w:p>
            <w:pPr>
              <w:pStyle w:val="Compact"/>
              <w:jc w:val="left"/>
            </w:pPr>
            <w:r>
              <w:t xml:space="preserve">04</w:t>
            </w:r>
          </w:p>
        </w:tc>
        <w:tc>
          <w:tcPr/>
          <w:p>
            <w:pPr>
              <w:pStyle w:val="Compact"/>
              <w:jc w:val="left"/>
            </w:pPr>
            <w:r>
              <w:t xml:space="preserve">Optimization algorithm design and implementation (integer linear programming, Cairo logistics network)</w:t>
            </w:r>
          </w:p>
        </w:tc>
        <w:tc>
          <w:tcPr/>
          <w:p>
            <w:pPr>
              <w:pStyle w:val="Compact"/>
              <w:jc w:val="left"/>
            </w:pPr>
            <w:r>
              <w:t xml:space="preserve">50 hours</w:t>
            </w:r>
          </w:p>
        </w:tc>
        <w:tc>
          <w:tcPr/>
          <w:p>
            <w:pPr>
              <w:pStyle w:val="Compact"/>
              <w:jc w:val="left"/>
            </w:pPr>
            <w:r>
              <w:t xml:space="preserve">1,350</w:t>
            </w:r>
          </w:p>
        </w:tc>
        <w:tc>
          <w:tcPr/>
          <w:p>
            <w:pPr>
              <w:pStyle w:val="Compact"/>
              <w:jc w:val="left"/>
            </w:pPr>
            <w:r>
              <w:t xml:space="preserve">67,500</w:t>
            </w:r>
          </w:p>
        </w:tc>
      </w:tr>
      <w:tr>
        <w:tc>
          <w:tcPr/>
          <w:p>
            <w:pPr>
              <w:pStyle w:val="Compact"/>
              <w:jc w:val="left"/>
            </w:pPr>
            <w:r>
              <w:t xml:space="preserve">05</w:t>
            </w:r>
          </w:p>
        </w:tc>
        <w:tc>
          <w:tcPr/>
          <w:p>
            <w:pPr>
              <w:pStyle w:val="Compact"/>
              <w:jc w:val="left"/>
            </w:pPr>
            <w:r>
              <w:t xml:space="preserve">Preparation of final technical report with full mathematical derivations, proofs, and appendices</w:t>
            </w:r>
          </w:p>
        </w:tc>
        <w:tc>
          <w:tcPr/>
          <w:p>
            <w:pPr>
              <w:pStyle w:val="Compact"/>
              <w:jc w:val="left"/>
            </w:pPr>
            <w:r>
              <w:t xml:space="preserve">1 deliverable</w:t>
            </w:r>
          </w:p>
        </w:tc>
        <w:tc>
          <w:tcPr/>
          <w:p>
            <w:pPr>
              <w:pStyle w:val="Compact"/>
              <w:jc w:val="left"/>
            </w:pPr>
            <w:r>
              <w:t xml:space="preserve">18,000</w:t>
            </w:r>
          </w:p>
        </w:tc>
        <w:tc>
          <w:tcPr/>
          <w:p>
            <w:pPr>
              <w:pStyle w:val="Compact"/>
              <w:jc w:val="left"/>
            </w:pPr>
            <w:r>
              <w:t xml:space="preserve">18,000</w:t>
            </w:r>
          </w:p>
        </w:tc>
      </w:tr>
      <w:tr>
        <w:tc>
          <w:tcPr/>
          <w:p>
            <w:pPr>
              <w:pStyle w:val="Compact"/>
              <w:jc w:val="left"/>
            </w:pPr>
            <w:r>
              <w:t xml:space="preserve">06</w:t>
            </w:r>
          </w:p>
        </w:tc>
        <w:tc>
          <w:tcPr/>
          <w:p>
            <w:pPr>
              <w:pStyle w:val="Compact"/>
              <w:jc w:val="left"/>
            </w:pPr>
            <w:r>
              <w:t xml:space="preserve">On-site training workshops in Egypt Cairo (2 sessions × 4 hours each, up to 15 participants per session)</w:t>
            </w:r>
          </w:p>
        </w:tc>
        <w:tc>
          <w:tcPr/>
          <w:p>
            <w:pPr>
              <w:pStyle w:val="Compact"/>
              <w:jc w:val="left"/>
            </w:pPr>
            <w:r>
              <w:t xml:space="preserve">2 sessions</w:t>
            </w:r>
          </w:p>
        </w:tc>
        <w:tc>
          <w:tcPr/>
          <w:p>
            <w:pPr>
              <w:pStyle w:val="Compact"/>
              <w:jc w:val="left"/>
            </w:pPr>
            <w:r>
              <w:t xml:space="preserve">12,000</w:t>
            </w:r>
          </w:p>
        </w:tc>
        <w:tc>
          <w:tcPr/>
          <w:p>
            <w:pPr>
              <w:pStyle w:val="Compact"/>
              <w:jc w:val="left"/>
            </w:pPr>
            <w:r>
              <w:t xml:space="preserve">24,000</w:t>
            </w:r>
          </w:p>
        </w:tc>
      </w:tr>
      <w:tr>
        <w:tc>
          <w:tcPr/>
          <w:p>
            <w:pPr>
              <w:pStyle w:val="Compact"/>
              <w:jc w:val="left"/>
            </w:pPr>
            <w:r>
              <w:t xml:space="preserve">07</w:t>
            </w:r>
          </w:p>
        </w:tc>
        <w:tc>
          <w:tcPr/>
          <w:p>
            <w:pPr>
              <w:pStyle w:val="Compact"/>
              <w:jc w:val="left"/>
            </w:pPr>
            <w:r>
              <w:t xml:space="preserve">Post-delivery support and model recalibration (remote, within 30 days of final report)</w:t>
            </w:r>
          </w:p>
        </w:tc>
        <w:tc>
          <w:tcPr/>
          <w:p>
            <w:pPr>
              <w:pStyle w:val="Compact"/>
              <w:jc w:val="left"/>
            </w:pPr>
            <w:r>
              <w:t xml:space="preserve">15 hours</w:t>
            </w:r>
          </w:p>
        </w:tc>
        <w:tc>
          <w:tcPr/>
          <w:p>
            <w:pPr>
              <w:pStyle w:val="Compact"/>
              <w:jc w:val="left"/>
            </w:pPr>
            <w:r>
              <w:t xml:space="preserve">1,000</w:t>
            </w:r>
          </w:p>
        </w:tc>
        <w:tc>
          <w:tcPr/>
          <w:p>
            <w:pPr>
              <w:pStyle w:val="Compact"/>
              <w:jc w:val="left"/>
            </w:pPr>
            <w:r>
              <w:t xml:space="preserve">15,000</w:t>
            </w:r>
          </w:p>
        </w:tc>
      </w:tr>
      <w:tr>
        <w:tc>
          <w:tcPr/>
          <w:p>
            <w:pPr>
              <w:pStyle w:val="Compact"/>
              <w:jc w:val="left"/>
            </w:pPr>
            <w:r>
              <w:t xml:space="preserve">08</w:t>
            </w:r>
          </w:p>
        </w:tc>
        <w:tc>
          <w:tcPr/>
          <w:p>
            <w:pPr>
              <w:pStyle w:val="Compact"/>
              <w:jc w:val="left"/>
            </w:pPr>
            <w:r>
              <w:t xml:space="preserve">Travel and local transportation within Egypt Cairo (Cairo Metro, taxi, parking at Client site)</w:t>
            </w:r>
          </w:p>
        </w:tc>
        <w:tc>
          <w:tcPr/>
          <w:p>
            <w:pPr>
              <w:pStyle w:val="Compact"/>
              <w:jc w:val="left"/>
            </w:pPr>
            <w:r>
              <w:t xml:space="preserve">Estimated</w:t>
            </w:r>
          </w:p>
        </w:tc>
        <w:tc>
          <w:tcPr/>
          <w:p>
            <w:pPr>
              <w:pStyle w:val="Compact"/>
              <w:jc w:val="left"/>
            </w:pPr>
            <w:r>
              <w:t xml:space="preserve">—</w:t>
            </w:r>
          </w:p>
        </w:tc>
        <w:tc>
          <w:tcPr/>
          <w:p>
            <w:pPr>
              <w:pStyle w:val="Compact"/>
              <w:jc w:val="left"/>
            </w:pPr>
            <w:r>
              <w:t xml:space="preserve">6,000</w:t>
            </w:r>
          </w:p>
        </w:tc>
      </w:tr>
      <w:tr>
        <w:tc>
          <w:tcPr>
            <w:gridSpan w:val="4"/>
          </w:tcPr>
          <w:p>
            <w:pPr>
              <w:pStyle w:val="Compact"/>
              <w:jc w:val="left"/>
            </w:pPr>
            <w:r>
              <w:t xml:space="preserve">Subtotal</w:t>
            </w:r>
          </w:p>
        </w:tc>
        <w:tc>
          <w:tcPr/>
          <w:p>
            <w:pPr>
              <w:pStyle w:val="Compact"/>
              <w:jc w:val="left"/>
            </w:pPr>
            <w:r>
              <w:t xml:space="preserve">255,000</w:t>
            </w:r>
          </w:p>
        </w:tc>
      </w:tr>
      <w:tr>
        <w:tc>
          <w:tcPr>
            <w:gridSpan w:val="4"/>
          </w:tcPr>
          <w:p>
            <w:pPr>
              <w:pStyle w:val="Compact"/>
              <w:jc w:val="left"/>
            </w:pPr>
            <w:r>
              <w:t xml:space="preserve">VAT (14% — Egyptian Tax Authority)</w:t>
            </w:r>
          </w:p>
        </w:tc>
        <w:tc>
          <w:tcPr/>
          <w:p>
            <w:pPr>
              <w:pStyle w:val="Compact"/>
              <w:jc w:val="left"/>
            </w:pPr>
            <w:r>
              <w:t xml:space="preserve">35,700</w:t>
            </w:r>
          </w:p>
        </w:tc>
      </w:tr>
      <w:tr>
        <w:tc>
          <w:tcPr>
            <w:gridSpan w:val="4"/>
          </w:tcPr>
          <w:p>
            <w:pPr>
              <w:pStyle w:val="Compact"/>
              <w:jc w:val="left"/>
            </w:pPr>
            <w:r>
              <w:rPr>
                <w:bCs/>
                <w:b/>
              </w:rPr>
              <w:t xml:space="preserve">TOTAL QUOTATION ESTIMATE (EGP)</w:t>
            </w:r>
          </w:p>
        </w:tc>
        <w:tc>
          <w:tcPr/>
          <w:p>
            <w:pPr>
              <w:pStyle w:val="Compact"/>
              <w:jc w:val="left"/>
            </w:pPr>
            <w:r>
              <w:rPr>
                <w:bCs/>
                <w:b/>
              </w:rPr>
              <w:t xml:space="preserve">290,700</w:t>
            </w:r>
          </w:p>
        </w:tc>
      </w:tr>
    </w:tbl>
    <w:bookmarkEnd w:id="23"/>
    <w:bookmarkStart w:id="24" w:name="terms-and-conditions"/>
    <w:p>
      <w:pPr>
        <w:pStyle w:val="Heading2"/>
      </w:pPr>
      <w:r>
        <w:t xml:space="preserve">4. Terms and Conditions</w:t>
      </w:r>
    </w:p>
    <w:p>
      <w:pPr>
        <w:numPr>
          <w:ilvl w:val="0"/>
          <w:numId w:val="1002"/>
        </w:numPr>
        <w:pStyle w:val="Compact"/>
      </w:pPr>
      <w:r>
        <w:t xml:space="preserve">This Quotation Estimate is valid for thirty (30) calendar days from the date of issue. After expiry, all rates for the Mathematician's services in Egypt Cairo are subject to revision based on prevailing market conditions.</w:t>
      </w:r>
    </w:p>
    <w:p>
      <w:pPr>
        <w:numPr>
          <w:ilvl w:val="0"/>
          <w:numId w:val="1002"/>
        </w:numPr>
        <w:pStyle w:val="Compact"/>
      </w:pPr>
      <w:r>
        <w:t xml:space="preserve">Payment shall be made in three (3) installments: 40% upon signed acceptance of this Quotation Estimate, 40% upon delivery of the final technical report, and 20% upon completion of the post-delivery support period. All payments shall be transferred via bank wire to the account of Al-Nile Academic &amp; Scientific Consulting LLC, National Bank of Egypt, Cairo branch.</w:t>
      </w:r>
    </w:p>
    <w:p>
      <w:pPr>
        <w:numPr>
          <w:ilvl w:val="0"/>
          <w:numId w:val="1002"/>
        </w:numPr>
        <w:pStyle w:val="Compact"/>
      </w:pPr>
      <w:r>
        <w:t xml:space="preserve">The Mathematician engaged under this Quotation Estimate shall maintain full professional confidentiality regarding all Client data, proprietary algorithms, and business strategies encountered during the engagement in Egypt Cairo. A separate Non-Disclosure Agreement (NDA) shall be executed prior to commencement of work.</w:t>
      </w:r>
    </w:p>
    <w:p>
      <w:pPr>
        <w:numPr>
          <w:ilvl w:val="0"/>
          <w:numId w:val="1002"/>
        </w:numPr>
        <w:pStyle w:val="Compact"/>
      </w:pPr>
      <w:r>
        <w:t xml:space="preserve">All intellectual property, including mathematical models, code, and reports produced under this engagement, shall vest in the Client upon full payment. The Mathematician retains the right to reference the work in academic publications only with prior written consent from the Client.</w:t>
      </w:r>
    </w:p>
    <w:p>
      <w:pPr>
        <w:numPr>
          <w:ilvl w:val="0"/>
          <w:numId w:val="1002"/>
        </w:numPr>
        <w:pStyle w:val="Compact"/>
      </w:pPr>
      <w:r>
        <w:t xml:space="preserve">Any change in scope beyond the services described in Section 2 shall require a written amendment to this Quotation Estimate, signed by both parties, before additional work commences.</w:t>
      </w:r>
    </w:p>
    <w:p>
      <w:pPr>
        <w:numPr>
          <w:ilvl w:val="0"/>
          <w:numId w:val="1002"/>
        </w:numPr>
        <w:pStyle w:val="Compact"/>
      </w:pPr>
      <w:r>
        <w:t xml:space="preserve">This Quotation Estimate is governed by the laws of the Arab Republic of Egypt. Any disputes arising from the Mathematician's engagement shall be resolved through arbitration in Cairo in accordance with the rules of the Egyptian Arbitration Center.</w:t>
      </w:r>
    </w:p>
    <w:p>
      <w:pPr>
        <w:numPr>
          <w:ilvl w:val="0"/>
          <w:numId w:val="1002"/>
        </w:numPr>
        <w:pStyle w:val="Compact"/>
      </w:pPr>
      <w:r>
        <w:t xml:space="preserve">The Mathematician shall comply with all applicable Egyptian labor regulations, professional licensing requirements, and data-protection statutes (Law No. 151 of 2020 on Personal Data Protection) throughout the duration of the engagement in Egypt Cairo.</w:t>
      </w:r>
    </w:p>
    <w:bookmarkEnd w:id="24"/>
    <w:bookmarkStart w:id="25" w:name="acceptance"/>
    <w:p>
      <w:pPr>
        <w:pStyle w:val="Heading2"/>
      </w:pPr>
      <w:r>
        <w:t xml:space="preserve">5. Acceptance</w:t>
      </w:r>
    </w:p>
    <w:p>
      <w:pPr>
        <w:pStyle w:val="FirstParagraph"/>
      </w:pPr>
      <w:r>
        <w:t xml:space="preserve">By signing below, the Client acknowledges receipt of this Quotation Estimate for Mathematician services in Egypt Cairo and agrees to the terms, conditions, and pricing set forth herein. This Quotation Estimate becomes a binding service agreement upon countersignature by both parties.</w:t>
      </w:r>
    </w:p>
    <w:p>
      <w:pPr>
        <w:pStyle w:val="BodyText"/>
      </w:pPr>
      <w:r>
        <w:rPr>
          <w:bCs/>
          <w:b/>
        </w:rPr>
        <w:t xml:space="preserve">For the Client</w:t>
      </w:r>
      <w:r>
        <w:br/>
      </w:r>
      <w:r>
        <w:br/>
      </w:r>
      <w:r>
        <w:t xml:space="preserve">Name: ______________________________</w:t>
      </w:r>
      <w:r>
        <w:br/>
      </w:r>
      <w:r>
        <w:t xml:space="preserve">Title: ______________________________</w:t>
      </w:r>
      <w:r>
        <w:br/>
      </w:r>
      <w:r>
        <w:t xml:space="preserve">Signature: ______________________________</w:t>
      </w:r>
      <w:r>
        <w:br/>
      </w:r>
      <w:r>
        <w:t xml:space="preserve">Date: ______________________________</w:t>
      </w:r>
    </w:p>
    <w:p>
      <w:pPr>
        <w:pStyle w:val="BodyText"/>
      </w:pPr>
      <w:r>
        <w:rPr>
          <w:bCs/>
          <w:b/>
        </w:rPr>
        <w:t xml:space="preserve">For Al-Nile Academic &amp; Scientific Consulting LLC</w:t>
      </w:r>
      <w:r>
        <w:br/>
      </w:r>
      <w:r>
        <w:br/>
      </w:r>
      <w:r>
        <w:t xml:space="preserve">Name: Dr. Amira Hassan</w:t>
      </w:r>
      <w:r>
        <w:br/>
      </w:r>
      <w:r>
        <w:t xml:space="preserve">Title: Senior Mathematician &amp; Lead Consultant</w:t>
      </w:r>
      <w:r>
        <w:br/>
      </w:r>
      <w:r>
        <w:t xml:space="preserve">Signature: ______________________________</w:t>
      </w:r>
      <w:r>
        <w:br/>
      </w:r>
      <w:r>
        <w:t xml:space="preserve">Date: ______________________________</w:t>
      </w:r>
    </w:p>
    <w:p>
      <w:pPr>
        <w:pStyle w:val="BodyText"/>
      </w:pPr>
      <w:r>
        <w:t xml:space="preserve">Al-Nile Academic &amp; Scientific Consulting LLC — Commercial Registration No. 114-8823, Cairo, Egypt</w:t>
      </w:r>
    </w:p>
    <w:p>
      <w:pPr>
        <w:pStyle w:val="BodyText"/>
      </w:pPr>
      <w:r>
        <w:t xml:space="preserve">This Quotation Estimate is a commercial document and does not constitute a tax invoice. A formal tax invoice shall be issued upon each payment milestone.</w:t>
      </w:r>
    </w:p>
    <w:p>
      <w:pPr>
        <w:pStyle w:val="BodyText"/>
      </w:pPr>
      <w:r>
        <w:t xml:space="preserve">Page 1 of 1 — Quotation Estimate QTE-EGY-CAI-2025-0487</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Mathematician Services - Egypt Cairo</dc:title>
  <dc:creator/>
  <dc:language>en</dc:language>
  <cp:keywords/>
  <dcterms:created xsi:type="dcterms:W3CDTF">2026-10-10T02:39:24Z</dcterms:created>
  <dcterms:modified xsi:type="dcterms:W3CDTF">2026-10-10T02:39:24Z</dcterms:modified>
</cp:coreProperties>
</file>

<file path=docProps/custom.xml><?xml version="1.0" encoding="utf-8"?>
<Properties xmlns="http://schemas.openxmlformats.org/officeDocument/2006/custom-properties" xmlns:vt="http://schemas.openxmlformats.org/officeDocument/2006/docPropsVTypes"/>
</file>