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yonnaise-mathematical-consulting-sarl"/>
    <w:p>
      <w:pPr>
        <w:pStyle w:val="Heading1"/>
      </w:pPr>
      <w:r>
        <w:t xml:space="preserve">Lyonnaise Mathematical Consulting SARL</w:t>
      </w:r>
    </w:p>
    <w:p>
      <w:pPr>
        <w:pStyle w:val="FirstParagraph"/>
      </w:pPr>
      <w:r>
        <w:t xml:space="preserve">12 Rue de la République, 69002 Lyon, France</w:t>
      </w:r>
    </w:p>
    <w:p>
      <w:pPr>
        <w:pStyle w:val="BodyText"/>
      </w:pPr>
      <w:r>
        <w:t xml:space="preserve">Tel: +33 4 72 00 00 00 | Email: contact@lyonmathconsult.fr</w:t>
      </w:r>
    </w:p>
    <w:p>
      <w:pPr>
        <w:pStyle w:val="BodyText"/>
      </w:pPr>
      <w:r>
        <w:t xml:space="preserve">SIRET: 842 567 891 00012 | TVA: FR 45 842567891</w:t>
      </w:r>
    </w:p>
    <w:bookmarkEnd w:id="20"/>
    <w:p>
      <w:pPr>
        <w:pStyle w:val="BodyText"/>
      </w:pPr>
      <w:r>
        <w:t xml:space="preserve">Quotation Reference: QTE-2025-LY-0472</w:t>
      </w:r>
    </w:p>
    <w:p>
      <w:pPr>
        <w:pStyle w:val="BodyText"/>
      </w:pPr>
      <w:r>
        <w:t xml:space="preserve">Date of Issue: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Professional Mathematician Engagement — Lyon, France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 (Client)</w:t>
            </w:r>
          </w:p>
        </w:tc>
        <w:tc>
          <w:tcPr/>
          <w:p>
            <w:pPr>
              <w:pStyle w:val="Compact"/>
              <w:jc w:val="left"/>
            </w:pPr>
            <w:r>
              <w:t xml:space="preserve">Conseil Régional Auvergne-Rhône-Alpes, Direction des Politiques Numériques, 10 Place Bellecour, 69275 Lyon Cedex 02, France</w:t>
            </w:r>
          </w:p>
        </w:tc>
      </w:tr>
      <w:tr>
        <w:tc>
          <w:tcPr/>
          <w:p>
            <w:pPr>
              <w:pStyle w:val="Compact"/>
              <w:jc w:val="left"/>
            </w:pPr>
            <w:r>
              <w:t xml:space="preserve">Service Category</w:t>
            </w:r>
          </w:p>
        </w:tc>
        <w:tc>
          <w:tcPr/>
          <w:p>
            <w:pPr>
              <w:pStyle w:val="Compact"/>
              <w:jc w:val="left"/>
            </w:pPr>
            <w:r>
              <w:t xml:space="preserve">Senior Mathematician — Applied &amp; Computational Mathematics</w:t>
            </w:r>
          </w:p>
        </w:tc>
      </w:tr>
      <w:tr>
        <w:tc>
          <w:tcPr/>
          <w:p>
            <w:pPr>
              <w:pStyle w:val="Compact"/>
              <w:jc w:val="left"/>
            </w:pPr>
            <w:r>
              <w:t xml:space="preserve">Project Location</w:t>
            </w:r>
          </w:p>
        </w:tc>
        <w:tc>
          <w:tcPr/>
          <w:p>
            <w:pPr>
              <w:pStyle w:val="Compact"/>
              <w:jc w:val="left"/>
            </w:pPr>
            <w:r>
              <w:t xml:space="preserve">Lyon, France (on-site and hybrid remote)</w:t>
            </w:r>
          </w:p>
        </w:tc>
      </w:tr>
      <w:tr>
        <w:tc>
          <w:tcPr/>
          <w:p>
            <w:pPr>
              <w:pStyle w:val="Compact"/>
              <w:jc w:val="left"/>
            </w:pPr>
            <w:r>
              <w:t xml:space="preserve">Engagement Period</w:t>
            </w:r>
          </w:p>
        </w:tc>
        <w:tc>
          <w:tcPr/>
          <w:p>
            <w:pPr>
              <w:pStyle w:val="Compact"/>
              <w:jc w:val="left"/>
            </w:pPr>
            <w:r>
              <w:t xml:space="preserve">1 September 2025 – 28 February 2026 (6 months)</w:t>
            </w:r>
          </w:p>
        </w:tc>
      </w:tr>
      <w:tr>
        <w:tc>
          <w:tcPr/>
          <w:p>
            <w:pPr>
              <w:pStyle w:val="Compact"/>
              <w:jc w:val="left"/>
            </w:pPr>
            <w:r>
              <w:t xml:space="preserve">Currency</w:t>
            </w:r>
          </w:p>
        </w:tc>
        <w:tc>
          <w:tcPr/>
          <w:p>
            <w:pPr>
              <w:pStyle w:val="Compact"/>
              <w:jc w:val="left"/>
            </w:pPr>
            <w:r>
              <w:t xml:space="preserve">Euro (EUR) — all amounts inclusive of applicable French VAT (TVA 20%)</w:t>
            </w:r>
          </w:p>
        </w:tc>
      </w:tr>
    </w:tbl>
    <w:bookmarkStart w:id="22" w:name="Xb190189530604712c48d9f08f815a64442b3bd8"/>
    <w:p>
      <w:pPr>
        <w:pStyle w:val="Heading3"/>
      </w:pPr>
      <w:r>
        <w:t xml:space="preserve">1. Scope of Work — Mathematician Services in France Lyon</w:t>
      </w:r>
    </w:p>
    <w:p>
      <w:pPr>
        <w:pStyle w:val="FirstParagraph"/>
      </w:pPr>
      <w:r>
        <w:t xml:space="preserve">This</w:t>
      </w:r>
      <w:r>
        <w:t xml:space="preserve"> </w:t>
      </w:r>
      <w:r>
        <w:t xml:space="preserve">Quotation Estimate</w:t>
      </w:r>
      <w:r>
        <w:t xml:space="preserve"> </w:t>
      </w:r>
      <w:r>
        <w:t xml:space="preserve">is issued by Lyonnaise Mathematical Consulting SARL to formally propose the engagement of a qualified</w:t>
      </w:r>
      <w:r>
        <w:t xml:space="preserve"> </w:t>
      </w:r>
      <w:r>
        <w:t xml:space="preserve">Mathematician</w:t>
      </w:r>
      <w:r>
        <w:t xml:space="preserve"> </w:t>
      </w:r>
      <w:r>
        <w:t xml:space="preserve">to deliver advanced analytical, modelling, and data-science support to the client organisation based in</w:t>
      </w:r>
      <w:r>
        <w:t xml:space="preserve"> </w:t>
      </w:r>
      <w:r>
        <w:t xml:space="preserve">France Lyon</w:t>
      </w:r>
      <w:r>
        <w:t xml:space="preserve">. The Mathematician will operate primarily from the client’s premises in the 2¹ arrondissement of Lyon, with the option of up to two remote working days per week. The scope encompasses the following deliverables:</w:t>
      </w:r>
    </w:p>
    <w:p>
      <w:pPr>
        <w:numPr>
          <w:ilvl w:val="0"/>
          <w:numId w:val="1001"/>
        </w:numPr>
        <w:pStyle w:val="Compact"/>
      </w:pPr>
      <w:r>
        <w:t xml:space="preserve">Design and implementation of stochastic differential equation models for regional transport network optimisation.</w:t>
      </w:r>
    </w:p>
    <w:p>
      <w:pPr>
        <w:numPr>
          <w:ilvl w:val="0"/>
          <w:numId w:val="1001"/>
        </w:numPr>
        <w:pStyle w:val="Compact"/>
      </w:pPr>
      <w:r>
        <w:t xml:space="preserve">Development of numerical simulation frameworks (finite element and spectral methods) for urban flood-risk assessment across the Lyon metropolitan area.</w:t>
      </w:r>
    </w:p>
    <w:p>
      <w:pPr>
        <w:numPr>
          <w:ilvl w:val="0"/>
          <w:numId w:val="1001"/>
        </w:numPr>
        <w:pStyle w:val="Compact"/>
      </w:pPr>
      <w:r>
        <w:t xml:space="preserve">Statistical analysis and Bayesian inference pipelines for public-health epidemiological forecasting.</w:t>
      </w:r>
    </w:p>
    <w:p>
      <w:pPr>
        <w:numPr>
          <w:ilvl w:val="0"/>
          <w:numId w:val="1001"/>
        </w:numPr>
        <w:pStyle w:val="Compact"/>
      </w:pPr>
      <w:r>
        <w:t xml:space="preserve">Authorship of two peer-reviewed technical reports and one open-source Python/MATLAB toolkit for the client’s internal research team.</w:t>
      </w:r>
    </w:p>
    <w:p>
      <w:pPr>
        <w:numPr>
          <w:ilvl w:val="0"/>
          <w:numId w:val="1001"/>
        </w:numPr>
        <w:pStyle w:val="Compact"/>
      </w:pPr>
      <w:r>
        <w:t xml:space="preserve">Weekly progress reviews and a final presentation to the Direction des Politiques Numériques in Lyon.</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Senior Mathematician — daily professional fee (on-site in Lyon, France)</w:t>
            </w:r>
          </w:p>
        </w:tc>
        <w:tc>
          <w:tcPr/>
          <w:p>
            <w:pPr>
              <w:pStyle w:val="Compact"/>
              <w:jc w:val="left"/>
            </w:pPr>
            <w:r>
              <w:t xml:space="preserve">Day</w:t>
            </w:r>
          </w:p>
        </w:tc>
        <w:tc>
          <w:tcPr/>
          <w:p>
            <w:pPr>
              <w:pStyle w:val="Compact"/>
              <w:jc w:val="left"/>
            </w:pPr>
            <w:r>
              <w:t xml:space="preserve">120</w:t>
            </w:r>
          </w:p>
        </w:tc>
        <w:tc>
          <w:tcPr/>
          <w:p>
            <w:pPr>
              <w:pStyle w:val="Compact"/>
              <w:jc w:val="left"/>
            </w:pPr>
            <w:r>
              <w:t xml:space="preserve">1,150.00</w:t>
            </w:r>
          </w:p>
        </w:tc>
        <w:tc>
          <w:tcPr/>
          <w:p>
            <w:pPr>
              <w:pStyle w:val="Compact"/>
              <w:jc w:val="left"/>
            </w:pPr>
            <w:r>
              <w:t xml:space="preserve">138,000.00</w:t>
            </w:r>
          </w:p>
        </w:tc>
      </w:tr>
      <w:tr>
        <w:tc>
          <w:tcPr/>
          <w:p>
            <w:pPr>
              <w:pStyle w:val="Compact"/>
              <w:jc w:val="left"/>
            </w:pPr>
            <w:r>
              <w:t xml:space="preserve">2.2</w:t>
            </w:r>
          </w:p>
        </w:tc>
        <w:tc>
          <w:tcPr/>
          <w:p>
            <w:pPr>
              <w:pStyle w:val="Compact"/>
              <w:jc w:val="left"/>
            </w:pPr>
            <w:r>
              <w:t xml:space="preserve">Mathematician — remote/hybrid working days (from Lyon-based home office)</w:t>
            </w:r>
          </w:p>
        </w:tc>
        <w:tc>
          <w:tcPr/>
          <w:p>
            <w:pPr>
              <w:pStyle w:val="Compact"/>
              <w:jc w:val="left"/>
            </w:pPr>
            <w:r>
              <w:t xml:space="preserve">Day</w:t>
            </w:r>
          </w:p>
        </w:tc>
        <w:tc>
          <w:tcPr/>
          <w:p>
            <w:pPr>
              <w:pStyle w:val="Compact"/>
              <w:jc w:val="left"/>
            </w:pPr>
            <w:r>
              <w:t xml:space="preserve">24</w:t>
            </w:r>
          </w:p>
        </w:tc>
        <w:tc>
          <w:tcPr/>
          <w:p>
            <w:pPr>
              <w:pStyle w:val="Compact"/>
              <w:jc w:val="left"/>
            </w:pPr>
            <w:r>
              <w:t xml:space="preserve">980.00</w:t>
            </w:r>
          </w:p>
        </w:tc>
        <w:tc>
          <w:tcPr/>
          <w:p>
            <w:pPr>
              <w:pStyle w:val="Compact"/>
              <w:jc w:val="left"/>
            </w:pPr>
            <w:r>
              <w:t xml:space="preserve">23,520.00</w:t>
            </w:r>
          </w:p>
        </w:tc>
      </w:tr>
      <w:tr>
        <w:tc>
          <w:tcPr/>
          <w:p>
            <w:pPr>
              <w:pStyle w:val="Compact"/>
              <w:jc w:val="left"/>
            </w:pPr>
            <w:r>
              <w:t xml:space="preserve">2.3</w:t>
            </w:r>
          </w:p>
        </w:tc>
        <w:tc>
          <w:tcPr/>
          <w:p>
            <w:pPr>
              <w:pStyle w:val="Compact"/>
              <w:jc w:val="left"/>
            </w:pPr>
            <w:r>
              <w:t xml:space="preserve">Specialist software licences (MATLAB, COMSOL, R/Stan) — 6-month subscription</w:t>
            </w:r>
          </w:p>
        </w:tc>
        <w:tc>
          <w:tcPr/>
          <w:p>
            <w:pPr>
              <w:pStyle w:val="Compact"/>
              <w:jc w:val="left"/>
            </w:pPr>
            <w:r>
              <w:t xml:space="preserve">Licence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2.4</w:t>
            </w:r>
          </w:p>
        </w:tc>
        <w:tc>
          <w:tcPr/>
          <w:p>
            <w:pPr>
              <w:pStyle w:val="Compact"/>
              <w:jc w:val="left"/>
            </w:pPr>
            <w:r>
              <w:t xml:space="preserve">High-performance computing (HPC) cloud allocation —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2.5</w:t>
            </w:r>
          </w:p>
        </w:tc>
        <w:tc>
          <w:tcPr/>
          <w:p>
            <w:pPr>
              <w:pStyle w:val="Compact"/>
              <w:jc w:val="left"/>
            </w:pPr>
            <w:r>
              <w:t xml:space="preserve">Travel &amp; local transport within Lyon metro area (transports en commun, parking)</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2.6</w:t>
            </w:r>
          </w:p>
        </w:tc>
        <w:tc>
          <w:tcPr/>
          <w:p>
            <w:pPr>
              <w:pStyle w:val="Compact"/>
              <w:jc w:val="left"/>
            </w:pPr>
            <w:r>
              <w:t xml:space="preserve">Technical report authorship &amp; peer-review coordination (2 reports)</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2.7</w:t>
            </w:r>
          </w:p>
        </w:tc>
        <w:tc>
          <w:tcPr/>
          <w:p>
            <w:pPr>
              <w:pStyle w:val="Compact"/>
              <w:jc w:val="left"/>
            </w:pPr>
            <w:r>
              <w:t xml:space="preserve">Open-source toolkit development &amp; documentation (Python/MATLAB)</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2.8</w:t>
            </w:r>
          </w:p>
        </w:tc>
        <w:tc>
          <w:tcPr/>
          <w:p>
            <w:pPr>
              <w:pStyle w:val="Compact"/>
              <w:jc w:val="left"/>
            </w:pPr>
            <w:r>
              <w:t xml:space="preserve">Project management &amp; weekly review sessions (Lyon office)</w:t>
            </w:r>
          </w:p>
        </w:tc>
        <w:tc>
          <w:tcPr/>
          <w:p>
            <w:pPr>
              <w:pStyle w:val="Compact"/>
              <w:jc w:val="left"/>
            </w:pPr>
            <w:r>
              <w:t xml:space="preserve">Session</w:t>
            </w:r>
          </w:p>
        </w:tc>
        <w:tc>
          <w:tcPr/>
          <w:p>
            <w:pPr>
              <w:pStyle w:val="Compact"/>
              <w:jc w:val="left"/>
            </w:pPr>
            <w:r>
              <w:t xml:space="preserve">26</w:t>
            </w:r>
          </w:p>
        </w:tc>
        <w:tc>
          <w:tcPr/>
          <w:p>
            <w:pPr>
              <w:pStyle w:val="Compact"/>
              <w:jc w:val="left"/>
            </w:pPr>
            <w:r>
              <w:t xml:space="preserve">250.00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200,740.00 EUR</w:t>
            </w:r>
          </w:p>
        </w:tc>
      </w:tr>
      <w:tr>
        <w:tc>
          <w:tcPr/>
          <w:p>
            <w:pPr>
              <w:pStyle w:val="Compact"/>
              <w:jc w:val="left"/>
            </w:pPr>
            <w:r>
              <w:t xml:space="preserve">VAT / TVA (20%)</w:t>
            </w:r>
          </w:p>
        </w:tc>
        <w:tc>
          <w:tcPr/>
          <w:p>
            <w:pPr>
              <w:pStyle w:val="Compact"/>
              <w:jc w:val="right"/>
            </w:pPr>
            <w:r>
              <w:t xml:space="preserve">40,148.00 EUR</w:t>
            </w:r>
          </w:p>
        </w:tc>
      </w:tr>
      <w:tr>
        <w:tc>
          <w:tcPr/>
          <w:p>
            <w:pPr>
              <w:pStyle w:val="Compact"/>
              <w:jc w:val="left"/>
            </w:pPr>
            <w:r>
              <w:t xml:space="preserve">Total (TTC)</w:t>
            </w:r>
          </w:p>
        </w:tc>
        <w:tc>
          <w:tcPr/>
          <w:p>
            <w:pPr>
              <w:pStyle w:val="Compact"/>
              <w:jc w:val="right"/>
            </w:pPr>
            <w:r>
              <w:t xml:space="preserve">240,888.00 EUR</w:t>
            </w:r>
          </w:p>
        </w:tc>
      </w:tr>
    </w:tbl>
    <w:bookmarkEnd w:id="23"/>
    <w:bookmarkStart w:id="24" w:name="payment-terms"/>
    <w:p>
      <w:pPr>
        <w:pStyle w:val="Heading3"/>
      </w:pPr>
      <w:r>
        <w:t xml:space="preserve">3. Payment Terms</w:t>
      </w:r>
    </w:p>
    <w:p>
      <w:pPr>
        <w:pStyle w:val="FirstParagraph"/>
      </w:pPr>
      <w:r>
        <w:t xml:space="preserve">Payment shall be made by bank transfer (virement bancaire) to the account of Lyonnaise Mathematical Consulting SARL, BNP Paribas Lyon, IBAN: FR76 3000 4000 0100 0000 0000 000. Invoices will be issued monthly in arrears. A 30% advance payment is due upon signature of this Quotation Estimate. The remaining balance shall be settled in five equal monthly instalments. Late payments are subject to statutory French interest rates (taux d'intérêt légal) as defined by the Code de commerce.</w:t>
      </w:r>
    </w:p>
    <w:bookmarkEnd w:id="24"/>
    <w:bookmarkStart w:id="25" w:name="terms-conditions"/>
    <w:p>
      <w:pPr>
        <w:pStyle w:val="Heading3"/>
      </w:pPr>
      <w:r>
        <w:t xml:space="preserve">4. Terms &amp; Conditions</w:t>
      </w:r>
    </w:p>
    <w:p>
      <w:pPr>
        <w:numPr>
          <w:ilvl w:val="0"/>
          <w:numId w:val="1002"/>
        </w:numPr>
        <w:pStyle w:val="Compact"/>
      </w:pPr>
      <w:r>
        <w:t xml:space="preserve">This Quotation Estimate is valid for thirty (30) calendar days from the date of issue. After expiry, rates may be revised to reflect current market conditions in the Lyon professional services sector.</w:t>
      </w:r>
    </w:p>
    <w:p>
      <w:pPr>
        <w:numPr>
          <w:ilvl w:val="0"/>
          <w:numId w:val="1002"/>
        </w:numPr>
        <w:pStyle w:val="Compact"/>
      </w:pPr>
      <w:r>
        <w:t xml:space="preserve">The Mathematician engaged under this estimate shall comply with all applicable French labour regulations, data-protection obligations (RGPD / GDPR), and the client’s internal security policies in Lyon.</w:t>
      </w:r>
    </w:p>
    <w:p>
      <w:pPr>
        <w:numPr>
          <w:ilvl w:val="0"/>
          <w:numId w:val="1002"/>
        </w:numPr>
        <w:pStyle w:val="Compact"/>
      </w:pPr>
      <w:r>
        <w:t xml:space="preserve">All intellectual property produced by the Mathematician during the engagement period shall vest in the client upon full payment, except for pre-existing methodologies and tools of the consulting firm.</w:t>
      </w:r>
    </w:p>
    <w:p>
      <w:pPr>
        <w:numPr>
          <w:ilvl w:val="0"/>
          <w:numId w:val="1002"/>
        </w:numPr>
        <w:pStyle w:val="Compact"/>
      </w:pPr>
      <w:r>
        <w:t xml:space="preserve">Either party may terminate the engagement with thirty (30) days’ written notice. In such case, a pro-rata settlement of the Quotation Estimate amounts will be applied.</w:t>
      </w:r>
    </w:p>
    <w:p>
      <w:pPr>
        <w:numPr>
          <w:ilvl w:val="0"/>
          <w:numId w:val="1002"/>
        </w:numPr>
        <w:pStyle w:val="Compact"/>
      </w:pPr>
      <w:r>
        <w:t xml:space="preserve">Confidentiality: The Mathematician shall sign a non-disclosure agreement (NDA) prior to commencing work in France Lyon. All project data shall be stored on servers located within the European Union.</w:t>
      </w:r>
    </w:p>
    <w:p>
      <w:pPr>
        <w:numPr>
          <w:ilvl w:val="0"/>
          <w:numId w:val="1002"/>
        </w:numPr>
        <w:pStyle w:val="Compact"/>
      </w:pPr>
      <w:r>
        <w:t xml:space="preserve">Force majeure events, including but not limited to public-health restrictions affecting operations in Lyon, shall suspend obligations without penalty for a maximum of sixty (60) days.</w:t>
      </w:r>
    </w:p>
    <w:p>
      <w:pPr>
        <w:numPr>
          <w:ilvl w:val="0"/>
          <w:numId w:val="1002"/>
        </w:numPr>
        <w:pStyle w:val="Compact"/>
      </w:pPr>
      <w:r>
        <w:t xml:space="preserve">This Quotation Estimate is governed by French law. Any dispute shall be submitted to the competent courts of Lyon (Tribunal de Commerce de Lyon).</w:t>
      </w:r>
    </w:p>
    <w:bookmarkEnd w:id="25"/>
    <w:bookmarkStart w:id="26" w:name="acceptance-signatures"/>
    <w:p>
      <w:pPr>
        <w:pStyle w:val="Heading3"/>
      </w:pPr>
      <w:r>
        <w:t xml:space="preserve">5. Acceptance &amp; Signatures</w:t>
      </w:r>
    </w:p>
    <w:p>
      <w:pPr>
        <w:pStyle w:val="FirstParagraph"/>
      </w:pPr>
      <w:r>
        <w:t xml:space="preserve">By signing below, both parties confirm their agreement to the terms, scope, and financial provisions set out in this Quotation Estimate for the Mathematician engagement in France Lyon.</w:t>
      </w:r>
    </w:p>
    <w:p>
      <w:pPr>
        <w:pStyle w:val="BodyText"/>
      </w:pPr>
      <w:r>
        <w:rPr>
          <w:bCs/>
          <w:b/>
        </w:rPr>
        <w:t xml:space="preserve">For Lyonnaise Mathematical Consulting SARL</w:t>
      </w:r>
    </w:p>
    <w:p>
      <w:pPr>
        <w:pStyle w:val="BodyText"/>
      </w:pPr>
      <w:r>
        <w:t xml:space="preserve">Name: Dr. Émile Vasseur</w:t>
      </w:r>
      <w:r>
        <w:br/>
      </w:r>
      <w:r>
        <w:t xml:space="preserve">Title: Managing Director</w:t>
      </w:r>
      <w:r>
        <w:br/>
      </w:r>
      <w:r>
        <w:t xml:space="preserve">Date: _______________</w:t>
      </w:r>
    </w:p>
    <w:p>
      <w:pPr>
        <w:pStyle w:val="BodyText"/>
      </w:pPr>
      <w:r>
        <w:rPr>
          <w:bCs/>
          <w:b/>
        </w:rPr>
        <w:t xml:space="preserve">For Conseil Régional Auvergne-Rhône-Alpes</w:t>
      </w:r>
    </w:p>
    <w:p>
      <w:pPr>
        <w:pStyle w:val="BodyText"/>
      </w:pPr>
      <w:r>
        <w:t xml:space="preserve">Name: _______________________</w:t>
      </w:r>
      <w:r>
        <w:br/>
      </w:r>
      <w:r>
        <w:t xml:space="preserve">Title: _______________________</w:t>
      </w:r>
      <w:r>
        <w:br/>
      </w:r>
      <w:r>
        <w:t xml:space="preserve">Date: _______________</w:t>
      </w:r>
    </w:p>
    <w:p>
      <w:pPr>
        <w:pStyle w:val="BodyText"/>
      </w:pPr>
      <w:r>
        <w:t xml:space="preserve">Quotation Estimate QTE-2025-LY-0472 — Issued by Lyonnaise Mathematical Consulting SARL, Lyon, France.</w:t>
      </w:r>
      <w:r>
        <w:br/>
      </w:r>
      <w:r>
        <w:t xml:space="preserve">This document constitutes a formal Quotation Estimate for the engagement of a Mathematician and is binding upon countersignature by both parties. All references to France Lyon denote the geographic and legal jurisdiction of the engagement.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France Lyon</dc:title>
  <dc:creator/>
  <dc:language>en</dc:language>
  <cp:keywords/>
  <dcterms:created xsi:type="dcterms:W3CDTF">2026-10-10T02:29:46Z</dcterms:created>
  <dcterms:modified xsi:type="dcterms:W3CDTF">2026-10-10T02:29:46Z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