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quotation-estimate"/>
    <w:p>
      <w:pPr>
        <w:pStyle w:val="Heading1"/>
      </w:pPr>
      <w:r>
        <w:t xml:space="preserve">QUOTATION ESTIMATE</w:t>
      </w:r>
    </w:p>
    <w:p>
      <w:pPr>
        <w:pStyle w:val="FirstParagraph"/>
      </w:pPr>
      <w:r>
        <w:rPr>
          <w:bCs/>
          <w:b/>
        </w:rPr>
        <w:t xml:space="preserve">Apex Mathematical Consulting GmbH</w:t>
      </w:r>
    </w:p>
    <w:p>
      <w:pPr>
        <w:pStyle w:val="BodyText"/>
      </w:pPr>
      <w:r>
        <w:t xml:space="preserve">Unter den Linden 42, 10117 Berlin, Germany</w:t>
      </w:r>
    </w:p>
    <w:p>
      <w:pPr>
        <w:pStyle w:val="BodyText"/>
      </w:pPr>
      <w:r>
        <w:t xml:space="preserve">Phone: +49 30 5555 0182 | Email: estimates@apexmath-berlin.de</w:t>
      </w:r>
    </w:p>
    <w:p>
      <w:pPr>
        <w:pStyle w:val="BodyText"/>
      </w:pPr>
      <w:r>
        <w:t xml:space="preserve">USt-IdNr.: DE 312 456 789</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QTE-2025-BER-0472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Dr. Katharina Vogel – Head of R&amp;D, Nordwind Analytics AG, Friedrichstraße 180, 10117 Berlin, Germany</w:t>
            </w:r>
          </w:p>
        </w:tc>
      </w:tr>
      <w:tr>
        <w:tc>
          <w:tcPr/>
          <w:p>
            <w:pPr>
              <w:pStyle w:val="Compact"/>
              <w:jc w:val="left"/>
            </w:pPr>
            <w:r>
              <w:t xml:space="preserve">Prepared By</w:t>
            </w:r>
          </w:p>
        </w:tc>
        <w:tc>
          <w:tcPr/>
          <w:p>
            <w:pPr>
              <w:pStyle w:val="Compact"/>
              <w:jc w:val="left"/>
            </w:pPr>
            <w:r>
              <w:t xml:space="preserve">Prof. Dr. Markus Stein – Senior Mathematician, Apex Mathematical Consulting GmbH</w:t>
            </w:r>
          </w:p>
        </w:tc>
      </w:tr>
      <w:tr>
        <w:tc>
          <w:tcPr/>
          <w:p>
            <w:pPr>
              <w:pStyle w:val="Compact"/>
              <w:jc w:val="left"/>
            </w:pPr>
            <w:r>
              <w:t xml:space="preserve">Project Reference</w:t>
            </w:r>
          </w:p>
        </w:tc>
        <w:tc>
          <w:tcPr/>
          <w:p>
            <w:pPr>
              <w:pStyle w:val="Compact"/>
              <w:jc w:val="left"/>
            </w:pPr>
            <w:r>
              <w:t xml:space="preserve">Stochastic Modelling &amp; Optimization – Phase II</w:t>
            </w:r>
          </w:p>
        </w:tc>
      </w:tr>
      <w:tr>
        <w:tc>
          <w:tcPr/>
          <w:p>
            <w:pPr>
              <w:pStyle w:val="Compact"/>
              <w:jc w:val="left"/>
            </w:pPr>
            <w:r>
              <w:t xml:space="preserve">Currency</w:t>
            </w:r>
          </w:p>
        </w:tc>
        <w:tc>
          <w:tcPr/>
          <w:p>
            <w:pPr>
              <w:pStyle w:val="Compact"/>
              <w:jc w:val="left"/>
            </w:pPr>
            <w:r>
              <w:t xml:space="preserve">Euro (EUR)</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Apex Mathematical Consulting GmbH to provide a comprehensive and itemized financial projection for the engagement of a senior Mathematician to support Nordwind Analytics AG in the development, validation, and deployment of advanced stochastic models for their quantitative risk-assessment platform. The Mathematician will be based in Germany Berlin, working primarily from the client's offices at Friedrichstraße 180, with an estimated 70% on-site presence and 30% remote collaboration. This Quotation Estimate covers a twelve-month engagement period commencing 1 September 2025 and concluding 31 August 2026, unless otherwise extended by mutual written agreement.</w:t>
      </w:r>
    </w:p>
    <w:bookmarkEnd w:id="21"/>
    <w:bookmarkStart w:id="22" w:name="Xaf4d0d602a3272d04692e8eba4ecf3281db41a3"/>
    <w:p>
      <w:pPr>
        <w:pStyle w:val="Heading2"/>
      </w:pPr>
      <w:r>
        <w:t xml:space="preserve">2. Scope of Services – Mathematician Engagement</w:t>
      </w:r>
    </w:p>
    <w:p>
      <w:pPr>
        <w:pStyle w:val="FirstParagraph"/>
      </w:pPr>
      <w:r>
        <w:t xml:space="preserve">The Mathematician engaged under this Quotation Estimate shall deliver the following core services:</w:t>
      </w:r>
    </w:p>
    <w:p>
      <w:pPr>
        <w:numPr>
          <w:ilvl w:val="0"/>
          <w:numId w:val="1001"/>
        </w:numPr>
        <w:pStyle w:val="Compact"/>
      </w:pPr>
      <w:r>
        <w:t xml:space="preserve">Design and implementation of Monte Carlo simulation frameworks for multi-asset portfolio risk modelling.</w:t>
      </w:r>
    </w:p>
    <w:p>
      <w:pPr>
        <w:numPr>
          <w:ilvl w:val="0"/>
          <w:numId w:val="1001"/>
        </w:numPr>
        <w:pStyle w:val="Compact"/>
      </w:pPr>
      <w:r>
        <w:t xml:space="preserve">Development of partial differential equation (PDE) solvers for derivative pricing under stochastic volatility regimes.</w:t>
      </w:r>
    </w:p>
    <w:p>
      <w:pPr>
        <w:numPr>
          <w:ilvl w:val="0"/>
          <w:numId w:val="1001"/>
        </w:numPr>
        <w:pStyle w:val="Compact"/>
      </w:pPr>
      <w:r>
        <w:t xml:space="preserve">Statistical validation and back-testing of existing quantitative models against historical market data.</w:t>
      </w:r>
    </w:p>
    <w:p>
      <w:pPr>
        <w:numPr>
          <w:ilvl w:val="0"/>
          <w:numId w:val="1001"/>
        </w:numPr>
        <w:pStyle w:val="Compact"/>
      </w:pPr>
      <w:r>
        <w:t xml:space="preserve">Authorship of technical documentation, white papers, and peer-review-ready methodology reports.</w:t>
      </w:r>
    </w:p>
    <w:p>
      <w:pPr>
        <w:numPr>
          <w:ilvl w:val="0"/>
          <w:numId w:val="1001"/>
        </w:numPr>
        <w:pStyle w:val="Compact"/>
      </w:pPr>
      <w:r>
        <w:t xml:space="preserve">Weekly consultation sessions with the client's data-science and engineering teams in Germany Berlin.</w:t>
      </w:r>
    </w:p>
    <w:p>
      <w:pPr>
        <w:numPr>
          <w:ilvl w:val="0"/>
          <w:numId w:val="1001"/>
        </w:numPr>
        <w:pStyle w:val="Compact"/>
      </w:pPr>
      <w:r>
        <w:t xml:space="preserve">Participation in up to four (4) on-site workshops per quarter at the client's Berlin headquarters.</w:t>
      </w:r>
    </w:p>
    <w:p>
      <w:pPr>
        <w:numPr>
          <w:ilvl w:val="0"/>
          <w:numId w:val="1001"/>
        </w:numPr>
        <w:pStyle w:val="Compact"/>
      </w:pPr>
      <w:r>
        <w:t xml:space="preserve">Ad-hoc mathematical advisory support, capped at 40 hours per calendar month.</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3.1</w:t>
            </w:r>
          </w:p>
        </w:tc>
        <w:tc>
          <w:tcPr/>
          <w:p>
            <w:pPr>
              <w:pStyle w:val="Compact"/>
              <w:jc w:val="left"/>
            </w:pPr>
            <w:r>
              <w:t xml:space="preserve">Senior Mathematician – Core Consulting (on-site, Germany Berlin)</w:t>
            </w:r>
          </w:p>
        </w:tc>
        <w:tc>
          <w:tcPr/>
          <w:p>
            <w:pPr>
              <w:pStyle w:val="Compact"/>
              <w:jc w:val="left"/>
            </w:pPr>
            <w:r>
              <w:t xml:space="preserve">Hour</w:t>
            </w:r>
          </w:p>
        </w:tc>
        <w:tc>
          <w:tcPr/>
          <w:p>
            <w:pPr>
              <w:pStyle w:val="Compact"/>
              <w:jc w:val="left"/>
            </w:pPr>
            <w:r>
              <w:t xml:space="preserve">1,440</w:t>
            </w:r>
          </w:p>
        </w:tc>
        <w:tc>
          <w:tcPr/>
          <w:p>
            <w:pPr>
              <w:pStyle w:val="Compact"/>
              <w:jc w:val="left"/>
            </w:pPr>
            <w:r>
              <w:t xml:space="preserve">185.00</w:t>
            </w:r>
          </w:p>
        </w:tc>
        <w:tc>
          <w:tcPr/>
          <w:p>
            <w:pPr>
              <w:pStyle w:val="Compact"/>
              <w:jc w:val="left"/>
            </w:pPr>
            <w:r>
              <w:t xml:space="preserve">266,400.00</w:t>
            </w:r>
          </w:p>
        </w:tc>
      </w:tr>
      <w:tr>
        <w:tc>
          <w:tcPr/>
          <w:p>
            <w:pPr>
              <w:pStyle w:val="Compact"/>
              <w:jc w:val="left"/>
            </w:pPr>
            <w:r>
              <w:t xml:space="preserve">3.2</w:t>
            </w:r>
          </w:p>
        </w:tc>
        <w:tc>
          <w:tcPr/>
          <w:p>
            <w:pPr>
              <w:pStyle w:val="Compact"/>
              <w:jc w:val="left"/>
            </w:pPr>
            <w:r>
              <w:t xml:space="preserve">Senior Mathematician – Remote Advisory &amp; Asynchronous Support</w:t>
            </w:r>
          </w:p>
        </w:tc>
        <w:tc>
          <w:tcPr/>
          <w:p>
            <w:pPr>
              <w:pStyle w:val="Compact"/>
              <w:jc w:val="left"/>
            </w:pPr>
            <w:r>
              <w:t xml:space="preserve">Hour</w:t>
            </w:r>
          </w:p>
        </w:tc>
        <w:tc>
          <w:tcPr/>
          <w:p>
            <w:pPr>
              <w:pStyle w:val="Compact"/>
              <w:jc w:val="left"/>
            </w:pPr>
            <w:r>
              <w:t xml:space="preserve">480</w:t>
            </w:r>
          </w:p>
        </w:tc>
        <w:tc>
          <w:tcPr/>
          <w:p>
            <w:pPr>
              <w:pStyle w:val="Compact"/>
              <w:jc w:val="left"/>
            </w:pPr>
            <w:r>
              <w:t xml:space="preserve">155.00</w:t>
            </w:r>
          </w:p>
        </w:tc>
        <w:tc>
          <w:tcPr/>
          <w:p>
            <w:pPr>
              <w:pStyle w:val="Compact"/>
              <w:jc w:val="left"/>
            </w:pPr>
            <w:r>
              <w:t xml:space="preserve">74,400.00</w:t>
            </w:r>
          </w:p>
        </w:tc>
      </w:tr>
      <w:tr>
        <w:tc>
          <w:tcPr/>
          <w:p>
            <w:pPr>
              <w:pStyle w:val="Compact"/>
              <w:jc w:val="left"/>
            </w:pPr>
            <w:r>
              <w:t xml:space="preserve">3.3</w:t>
            </w:r>
          </w:p>
        </w:tc>
        <w:tc>
          <w:tcPr/>
          <w:p>
            <w:pPr>
              <w:pStyle w:val="Compact"/>
              <w:jc w:val="left"/>
            </w:pPr>
            <w:r>
              <w:t xml:space="preserve">Specialized Software Licences (MATLAB, Julia, Gurobi – annual)</w:t>
            </w:r>
          </w:p>
        </w:tc>
        <w:tc>
          <w:tcPr/>
          <w:p>
            <w:pPr>
              <w:pStyle w:val="Compact"/>
              <w:jc w:val="left"/>
            </w:pPr>
            <w:r>
              <w:t xml:space="preserve">Year</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3.4</w:t>
            </w:r>
          </w:p>
        </w:tc>
        <w:tc>
          <w:tcPr/>
          <w:p>
            <w:pPr>
              <w:pStyle w:val="Compact"/>
              <w:jc w:val="left"/>
            </w:pPr>
            <w:r>
              <w:t xml:space="preserve">High-Performance Computing Cloud Allocation (AWS Frankfurt region)</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3.5</w:t>
            </w:r>
          </w:p>
        </w:tc>
        <w:tc>
          <w:tcPr/>
          <w:p>
            <w:pPr>
              <w:pStyle w:val="Compact"/>
              <w:jc w:val="left"/>
            </w:pPr>
            <w:r>
              <w:t xml:space="preserve">Technical Documentation &amp; Report Authoring (per deliverable)</w:t>
            </w:r>
          </w:p>
        </w:tc>
        <w:tc>
          <w:tcPr/>
          <w:p>
            <w:pPr>
              <w:pStyle w:val="Compact"/>
              <w:jc w:val="left"/>
            </w:pPr>
            <w:r>
              <w:t xml:space="preserve">Report</w:t>
            </w:r>
          </w:p>
        </w:tc>
        <w:tc>
          <w:tcPr/>
          <w:p>
            <w:pPr>
              <w:pStyle w:val="Compact"/>
              <w:jc w:val="left"/>
            </w:pPr>
            <w:r>
              <w:t xml:space="preserve">6</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3.6</w:t>
            </w:r>
          </w:p>
        </w:tc>
        <w:tc>
          <w:tcPr/>
          <w:p>
            <w:pPr>
              <w:pStyle w:val="Compact"/>
              <w:jc w:val="left"/>
            </w:pPr>
            <w:r>
              <w:t xml:space="preserve">On-Site Workshop Facilitation (Germany Berlin, per session)</w:t>
            </w:r>
          </w:p>
        </w:tc>
        <w:tc>
          <w:tcPr/>
          <w:p>
            <w:pPr>
              <w:pStyle w:val="Compact"/>
              <w:jc w:val="left"/>
            </w:pPr>
            <w:r>
              <w:t xml:space="preserve">Session</w:t>
            </w:r>
          </w:p>
        </w:tc>
        <w:tc>
          <w:tcPr/>
          <w:p>
            <w:pPr>
              <w:pStyle w:val="Compact"/>
              <w:jc w:val="left"/>
            </w:pPr>
            <w:r>
              <w:t xml:space="preserve">16</w:t>
            </w:r>
          </w:p>
        </w:tc>
        <w:tc>
          <w:tcPr/>
          <w:p>
            <w:pPr>
              <w:pStyle w:val="Compact"/>
              <w:jc w:val="left"/>
            </w:pPr>
            <w:r>
              <w:t xml:space="preserve">2,200.00</w:t>
            </w:r>
          </w:p>
        </w:tc>
        <w:tc>
          <w:tcPr/>
          <w:p>
            <w:pPr>
              <w:pStyle w:val="Compact"/>
              <w:jc w:val="left"/>
            </w:pPr>
            <w:r>
              <w:t xml:space="preserve">35,200.00</w:t>
            </w:r>
          </w:p>
        </w:tc>
      </w:tr>
      <w:tr>
        <w:tc>
          <w:tcPr/>
          <w:p>
            <w:pPr>
              <w:pStyle w:val="Compact"/>
              <w:jc w:val="left"/>
            </w:pPr>
            <w:r>
              <w:t xml:space="preserve">3.7</w:t>
            </w:r>
          </w:p>
        </w:tc>
        <w:tc>
          <w:tcPr/>
          <w:p>
            <w:pPr>
              <w:pStyle w:val="Compact"/>
              <w:jc w:val="left"/>
            </w:pPr>
            <w:r>
              <w:t xml:space="preserve">Travel &amp; Local Transport within Berlin (estimated)</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3.8</w:t>
            </w:r>
          </w:p>
        </w:tc>
        <w:tc>
          <w:tcPr/>
          <w:p>
            <w:pPr>
              <w:pStyle w:val="Compact"/>
              <w:jc w:val="left"/>
            </w:pPr>
            <w:r>
              <w:t xml:space="preserve">Project Management &amp; Coordination Overhead (10%)</w:t>
            </w:r>
          </w:p>
        </w:tc>
        <w:tc>
          <w:tcPr/>
          <w:p>
            <w:pPr>
              <w:pStyle w:val="Compact"/>
              <w:jc w:val="left"/>
            </w:pPr>
            <w:r>
              <w:t xml:space="preserve">—</w:t>
            </w:r>
          </w:p>
        </w:tc>
        <w:tc>
          <w:tcPr/>
          <w:p>
            <w:pPr>
              <w:pStyle w:val="Compact"/>
              <w:jc w:val="left"/>
            </w:pPr>
            <w:r>
              <w:t xml:space="preserve">1</w:t>
            </w:r>
          </w:p>
        </w:tc>
        <w:tc>
          <w:tcPr/>
          <w:p>
            <w:pPr>
              <w:pStyle w:val="Compact"/>
              <w:jc w:val="left"/>
            </w:pPr>
            <w:r>
              <w:t xml:space="preserve">—</w:t>
            </w:r>
          </w:p>
        </w:tc>
        <w:tc>
          <w:tcPr/>
          <w:p>
            <w:pPr>
              <w:pStyle w:val="Compact"/>
              <w:jc w:val="left"/>
            </w:pPr>
            <w:r>
              <w:t xml:space="preserve">45,840.00</w:t>
            </w:r>
          </w:p>
        </w:tc>
      </w:tr>
      <w:tr>
        <w:tc>
          <w:tcPr>
            <w:gridSpan w:val="5"/>
          </w:tcPr>
          <w:p>
            <w:pPr>
              <w:pStyle w:val="Compact"/>
              <w:jc w:val="left"/>
            </w:pPr>
            <w:r>
              <w:t xml:space="preserve">Subtotal (excl. VAT)</w:t>
            </w:r>
          </w:p>
        </w:tc>
        <w:tc>
          <w:tcPr/>
          <w:p>
            <w:pPr>
              <w:pStyle w:val="Compact"/>
              <w:jc w:val="left"/>
            </w:pPr>
            <w:r>
              <w:t xml:space="preserve">504,440.00</w:t>
            </w:r>
          </w:p>
        </w:tc>
      </w:tr>
      <w:tr>
        <w:tc>
          <w:tcPr>
            <w:gridSpan w:val="5"/>
          </w:tcPr>
          <w:p>
            <w:pPr>
              <w:pStyle w:val="Compact"/>
              <w:jc w:val="left"/>
            </w:pPr>
            <w:r>
              <w:t xml:space="preserve">VAT (Umsatzsteuer) – 19% (Germany)</w:t>
            </w:r>
          </w:p>
        </w:tc>
        <w:tc>
          <w:tcPr/>
          <w:p>
            <w:pPr>
              <w:pStyle w:val="Compact"/>
              <w:jc w:val="left"/>
            </w:pPr>
            <w:r>
              <w:t xml:space="preserve">95,843.60</w:t>
            </w:r>
          </w:p>
        </w:tc>
      </w:tr>
      <w:tr>
        <w:tc>
          <w:tcPr>
            <w:gridSpan w:val="5"/>
          </w:tcPr>
          <w:p>
            <w:pPr>
              <w:pStyle w:val="Compact"/>
              <w:jc w:val="left"/>
            </w:pPr>
            <w:r>
              <w:t xml:space="preserve">TOTAL (incl. VAT)</w:t>
            </w:r>
          </w:p>
        </w:tc>
        <w:tc>
          <w:tcPr/>
          <w:p>
            <w:pPr>
              <w:pStyle w:val="Compact"/>
              <w:jc w:val="left"/>
            </w:pPr>
            <w:r>
              <w:t xml:space="preserve">600,283.60</w:t>
            </w:r>
          </w:p>
        </w:tc>
      </w:tr>
    </w:tbl>
    <w:bookmarkEnd w:id="23"/>
    <w:bookmarkStart w:id="24" w:name="payment-terms"/>
    <w:p>
      <w:pPr>
        <w:pStyle w:val="Heading2"/>
      </w:pPr>
      <w:r>
        <w:t xml:space="preserve">4. Payment Terms</w:t>
      </w:r>
    </w:p>
    <w:p>
      <w:pPr>
        <w:pStyle w:val="FirstParagraph"/>
      </w:pPr>
      <w:r>
        <w:t xml:space="preserve">Payment for the services outlined in this Quotation Estimate shall be made via bank transfer (SEPA) to the account of Apex Mathematical Consulting GmbH, IBAN: DE89 3704 0044 0532 0130 00, BIC: COBADEFFXXX. Invoices will be issued monthly in arrears. Payment is due within 30 days of the invoice date in accordance with § 288 of the German Civil Code (BGB). Late payments shall accrue interest at the statutory rate of 8 percentage points above the ECB base rate for business-to-business transactions.</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After the expiry date, all rates and availability are subject to re-confirmation in writing.</w:t>
      </w:r>
    </w:p>
    <w:p>
      <w:pPr>
        <w:numPr>
          <w:ilvl w:val="0"/>
          <w:numId w:val="1002"/>
        </w:numPr>
        <w:pStyle w:val="Compact"/>
      </w:pPr>
      <w:r>
        <w:t xml:space="preserve">The Mathematician engaged under this Quotation Estimate shall comply with all applicable data-protection regulations, including the EU General Data Protection Regulation (GDPR) and the German Federal Data Protection Act (BDSG).</w:t>
      </w:r>
    </w:p>
    <w:p>
      <w:pPr>
        <w:numPr>
          <w:ilvl w:val="0"/>
          <w:numId w:val="1002"/>
        </w:numPr>
        <w:pStyle w:val="Compact"/>
      </w:pPr>
      <w:r>
        <w:t xml:space="preserve">All intellectual property created specifically for the client during the engagement period shall vest in Nordwind Analytics AG upon full payment, unless otherwise stipulated in a separate IP assignment agreement.</w:t>
      </w:r>
    </w:p>
    <w:p>
      <w:pPr>
        <w:numPr>
          <w:ilvl w:val="0"/>
          <w:numId w:val="1002"/>
        </w:numPr>
        <w:pStyle w:val="Compact"/>
      </w:pPr>
      <w:r>
        <w:t xml:space="preserve">Either party may terminate this engagement with a written notice period of sixty (60) days. In the event of early termination, all services rendered up to the termination date shall be invoiced in full.</w:t>
      </w:r>
    </w:p>
    <w:p>
      <w:pPr>
        <w:numPr>
          <w:ilvl w:val="0"/>
          <w:numId w:val="1002"/>
        </w:numPr>
        <w:pStyle w:val="Compact"/>
      </w:pPr>
      <w:r>
        <w:t xml:space="preserve">This Quotation Estimate does not constitute a binding contract until countersigned by both parties. The definitive terms shall be governed by the Master Services Agreement (MSA) dated 01 March 2025 between the parties.</w:t>
      </w:r>
    </w:p>
    <w:p>
      <w:pPr>
        <w:numPr>
          <w:ilvl w:val="0"/>
          <w:numId w:val="1002"/>
        </w:numPr>
        <w:pStyle w:val="Compact"/>
      </w:pPr>
      <w:r>
        <w:t xml:space="preserve">Disputes arising from this Quotation Estimate or the resulting engagement shall be subject to the exclusive jurisdiction of the courts of Berlin, Germany.</w:t>
      </w:r>
    </w:p>
    <w:p>
      <w:pPr>
        <w:numPr>
          <w:ilvl w:val="0"/>
          <w:numId w:val="1002"/>
        </w:numPr>
        <w:pStyle w:val="Compact"/>
      </w:pPr>
      <w:r>
        <w:t xml:space="preserve">All communications regarding this Quotation Estimate shall be conducted in English, with official legal documents available in German upon request.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authorizes Apex Mathematical Consulting GmbH to proceed with the engagement of the Mathematician as described herein. This acceptance does not waive any rights under the governing Master Services Agreement.</w:t>
      </w:r>
    </w:p>
    <w:p>
      <w:pPr>
        <w:pStyle w:val="BodyText"/>
      </w:pPr>
      <w:r>
        <w:rPr>
          <w:bCs/>
          <w:b/>
        </w:rPr>
        <w:t xml:space="preserve">For and on behalf of Nordwind Analytics AG</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Apex Mathematical Consulting GmbH</w:t>
      </w:r>
    </w:p>
    <w:p>
      <w:pPr>
        <w:pStyle w:val="BodyText"/>
      </w:pPr>
      <w:r>
        <w:t xml:space="preserve">Name: Prof. Dr. Markus Stein</w:t>
      </w:r>
    </w:p>
    <w:p>
      <w:pPr>
        <w:pStyle w:val="BodyText"/>
      </w:pPr>
      <w:r>
        <w:t xml:space="preserve">Title: Managing Director</w:t>
      </w:r>
    </w:p>
    <w:p>
      <w:pPr>
        <w:pStyle w:val="BodyText"/>
      </w:pPr>
      <w:r>
        <w:t xml:space="preserve">Signature: ______________________________</w:t>
      </w:r>
    </w:p>
    <w:p>
      <w:pPr>
        <w:pStyle w:val="BodyText"/>
      </w:pPr>
      <w:r>
        <w:t xml:space="preserve">Date: ______________________________</w:t>
      </w:r>
    </w:p>
    <w:p>
      <w:pPr>
        <w:pStyle w:val="BodyText"/>
      </w:pPr>
      <w:r>
        <w:t xml:space="preserve">Apex Mathematical Consulting GmbH | Unter den Linden 42, 10117 Berlin, Germany | HRB 123456 B, Amtsgericht Charlottenburg</w:t>
      </w:r>
    </w:p>
    <w:p>
      <w:pPr>
        <w:pStyle w:val="BodyText"/>
      </w:pPr>
      <w:r>
        <w:t xml:space="preserve">This Quotation Estimate was generated electronically and is valid without a physical seal. Document ID: QTE-2025-BER-0472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Germany Berlin</dc:title>
  <dc:creator/>
  <dc:language>en</dc:language>
  <cp:keywords/>
  <dcterms:created xsi:type="dcterms:W3CDTF">2026-10-10T05:01:29Z</dcterms:created>
  <dcterms:modified xsi:type="dcterms:W3CDTF">2026-10-10T05:01:29Z</dcterms:modified>
</cp:coreProperties>
</file>

<file path=docProps/custom.xml><?xml version="1.0" encoding="utf-8"?>
<Properties xmlns="http://schemas.openxmlformats.org/officeDocument/2006/custom-properties" xmlns:vt="http://schemas.openxmlformats.org/officeDocument/2006/docPropsVTypes"/>
</file>