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Frankfurt,</w:t>
      </w:r>
      <w:r>
        <w:t xml:space="preserve"> </w:t>
      </w:r>
      <w:r>
        <w:t xml:space="preserve">Germany</w:t>
      </w:r>
    </w:p>
    <w:p>
      <w:pPr>
        <w:pStyle w:val="FirstParagraph"/>
      </w:pPr>
      <w:r>
        <w:t xml:space="preserve">QUOTATION ESTIMATE</w:t>
      </w:r>
    </w:p>
    <w:bookmarkStart w:id="20" w:name="Xb415700907023cd25c706b9c05fa9a34e6029db"/>
    <w:p>
      <w:pPr>
        <w:pStyle w:val="Heading1"/>
      </w:pPr>
      <w:r>
        <w:t xml:space="preserve">Quotation Estimate for Mathematician Professional Services</w:t>
      </w:r>
    </w:p>
    <w:p>
      <w:pPr>
        <w:pStyle w:val="FirstParagraph"/>
      </w:pPr>
      <w:r>
        <w:t xml:space="preserve">Specialized Mathematical Consulting &amp; Analytical Services — Frankfurt am Main, Germany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QTE-FRA-2025-0417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Location</w:t>
            </w:r>
          </w:p>
        </w:tc>
        <w:tc>
          <w:tcPr/>
          <w:p>
            <w:pPr>
              <w:pStyle w:val="Compact"/>
              <w:jc w:val="left"/>
            </w:pPr>
            <w:r>
              <w:t xml:space="preserve">Frankfurt am Main, Hesse, Germany (60311 Frankfurt am Main)</w:t>
            </w:r>
          </w:p>
        </w:tc>
      </w:tr>
      <w:tr>
        <w:tc>
          <w:tcPr/>
          <w:p>
            <w:pPr>
              <w:pStyle w:val="Compact"/>
              <w:jc w:val="left"/>
            </w:pPr>
            <w:r>
              <w:t xml:space="preserve">Prepared By</w:t>
            </w:r>
          </w:p>
        </w:tc>
        <w:tc>
          <w:tcPr/>
          <w:p>
            <w:pPr>
              <w:pStyle w:val="Compact"/>
              <w:jc w:val="left"/>
            </w:pPr>
            <w:r>
              <w:t xml:space="preserve">Dr. Heinrich Vogel, PhD in Applied Mathematics, Goethe-Universität Frankfurt</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Currency</w:t>
            </w:r>
          </w:p>
        </w:tc>
        <w:tc>
          <w:tcPr/>
          <w:p>
            <w:pPr>
              <w:pStyle w:val="Compact"/>
              <w:jc w:val="left"/>
            </w:pPr>
            <w:r>
              <w:t xml:space="preserve">Euro (EUR) — German Federal Republic</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in accordance with the commercial practices of the Federal Republic of Germany and is intended to provide a transparent, itemized cost projection for the engagement of a qualified Mathematician to deliver specialized analytical, modeling, and problem-solving services within the city of Frankfurt am Main. This Quotation Estimate does not constitute a binding contract until formally accepted in writing by both parties. All figures presented herein are estimates based on the scope of work described below and are subject to the terms and conditions outlined in Section 6.</w:t>
      </w:r>
    </w:p>
    <w:bookmarkEnd w:id="21"/>
    <w:bookmarkStart w:id="22" w:name="Xd566f1097c123995a4bf5b34b414e84fa521fde"/>
    <w:p>
      <w:pPr>
        <w:pStyle w:val="Heading2"/>
      </w:pPr>
      <w:r>
        <w:t xml:space="preserve">2. Scope of Work — Mathematician Services in Frankfurt, Germany</w:t>
      </w:r>
    </w:p>
    <w:p>
      <w:pPr>
        <w:pStyle w:val="FirstParagraph"/>
      </w:pPr>
      <w:r>
        <w:t xml:space="preserve">The Mathematician engaged under this Quotation Estimate shall provide the following professional services at the designated location in Frankfurt am Main, Germany:</w:t>
      </w:r>
    </w:p>
    <w:p>
      <w:pPr>
        <w:numPr>
          <w:ilvl w:val="0"/>
          <w:numId w:val="1001"/>
        </w:numPr>
        <w:pStyle w:val="Compact"/>
      </w:pPr>
      <w:r>
        <w:rPr>
          <w:bCs/>
          <w:b/>
        </w:rPr>
        <w:t xml:space="preserve">Mathematical Modeling &amp; Simulation:</w:t>
      </w:r>
      <w:r>
        <w:t xml:space="preserve"> </w:t>
      </w:r>
      <w:r>
        <w:t xml:space="preserve">Development of stochastic and deterministic models for financial risk assessment, algorithmic trading strategies, and portfolio optimization, leveraging the quantitative infrastructure available in Frankfurt’s financial district (Bankenviertel).</w:t>
      </w:r>
    </w:p>
    <w:p>
      <w:pPr>
        <w:numPr>
          <w:ilvl w:val="0"/>
          <w:numId w:val="1001"/>
        </w:numPr>
        <w:pStyle w:val="Compact"/>
      </w:pPr>
      <w:r>
        <w:rPr>
          <w:bCs/>
          <w:b/>
        </w:rPr>
        <w:t xml:space="preserve">Statistical Analysis &amp; Data Interpretation:</w:t>
      </w:r>
      <w:r>
        <w:t xml:space="preserve"> </w:t>
      </w:r>
      <w:r>
        <w:t xml:space="preserve">Conducting rigorous statistical analyses on datasets provided by the client, including regression modeling, Bayesian inference, and multivariate analysis, performed at the Mathematician’s office in Frankfurt or at the client’s premises within the city.</w:t>
      </w:r>
    </w:p>
    <w:p>
      <w:pPr>
        <w:numPr>
          <w:ilvl w:val="0"/>
          <w:numId w:val="1001"/>
        </w:numPr>
        <w:pStyle w:val="Compact"/>
      </w:pPr>
      <w:r>
        <w:rPr>
          <w:bCs/>
          <w:b/>
        </w:rPr>
        <w:t xml:space="preserve">Optimization &amp; Operations Research:</w:t>
      </w:r>
      <w:r>
        <w:t xml:space="preserve"> </w:t>
      </w:r>
      <w:r>
        <w:t xml:space="preserve">Formulating and solving linear, nonlinear, and integer programming problems relevant to the client’s operational logistics and supply-chain management within the Frankfurt metropolitan area.</w:t>
      </w:r>
    </w:p>
    <w:p>
      <w:pPr>
        <w:numPr>
          <w:ilvl w:val="0"/>
          <w:numId w:val="1001"/>
        </w:numPr>
        <w:pStyle w:val="Compact"/>
      </w:pPr>
      <w:r>
        <w:rPr>
          <w:bCs/>
          <w:b/>
        </w:rPr>
        <w:t xml:space="preserve">Academic &amp; Technical Writing:</w:t>
      </w:r>
      <w:r>
        <w:t xml:space="preserve"> </w:t>
      </w:r>
      <w:r>
        <w:t xml:space="preserve">Preparation of peer-reviewed-quality mathematical documentation, white papers, and technical reports in English and German to meet the regulatory and academic standards expected in Germany.</w:t>
      </w:r>
    </w:p>
    <w:p>
      <w:pPr>
        <w:numPr>
          <w:ilvl w:val="0"/>
          <w:numId w:val="1001"/>
        </w:numPr>
        <w:pStyle w:val="Compact"/>
      </w:pPr>
      <w:r>
        <w:rPr>
          <w:bCs/>
          <w:b/>
        </w:rPr>
        <w:t xml:space="preserve">Consultation &amp; Advisory Sessions:</w:t>
      </w:r>
      <w:r>
        <w:t xml:space="preserve"> </w:t>
      </w:r>
      <w:r>
        <w:t xml:space="preserve">A minimum of twelve (12) on-site consultation sessions per month at the client’s office in Frankfurt, each session lasting no fewer than two (2) hours, during which the Mathematician will provide real-time problem-solving guidance and strategic mathematical advice.</w:t>
      </w:r>
    </w:p>
    <w:p>
      <w:pPr>
        <w:numPr>
          <w:ilvl w:val="0"/>
          <w:numId w:val="1001"/>
        </w:numPr>
        <w:pStyle w:val="Compact"/>
      </w:pPr>
      <w:r>
        <w:rPr>
          <w:bCs/>
          <w:b/>
        </w:rPr>
        <w:t xml:space="preserve">Training &amp; Knowledge Transfer:</w:t>
      </w:r>
      <w:r>
        <w:t xml:space="preserve"> </w:t>
      </w:r>
      <w:r>
        <w:t xml:space="preserve">Delivery of two (2) full-day workshops per quarter for the client’s internal team, covering advanced mathematical methods applicable to the client’s industry sector.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Mathematician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Mathematical Modeling &amp; Simulation (on-site, Frankfurt)</w:t>
            </w:r>
          </w:p>
        </w:tc>
        <w:tc>
          <w:tcPr/>
          <w:p>
            <w:pPr>
              <w:pStyle w:val="Compact"/>
              <w:jc w:val="left"/>
            </w:pPr>
            <w:r>
              <w:t xml:space="preserve">80 hours</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02</w:t>
            </w:r>
          </w:p>
        </w:tc>
        <w:tc>
          <w:tcPr/>
          <w:p>
            <w:pPr>
              <w:pStyle w:val="Compact"/>
              <w:jc w:val="left"/>
            </w:pPr>
            <w:r>
              <w:t xml:space="preserve">Statistical Analysis &amp; Data Interpretation</w:t>
            </w:r>
          </w:p>
        </w:tc>
        <w:tc>
          <w:tcPr/>
          <w:p>
            <w:pPr>
              <w:pStyle w:val="Compact"/>
              <w:jc w:val="left"/>
            </w:pPr>
            <w:r>
              <w:t xml:space="preserve">60 hours</w:t>
            </w:r>
          </w:p>
        </w:tc>
        <w:tc>
          <w:tcPr/>
          <w:p>
            <w:pPr>
              <w:pStyle w:val="Compact"/>
              <w:jc w:val="left"/>
            </w:pPr>
            <w:r>
              <w:t xml:space="preserve">€135.00</w:t>
            </w:r>
          </w:p>
        </w:tc>
        <w:tc>
          <w:tcPr/>
          <w:p>
            <w:pPr>
              <w:pStyle w:val="Compact"/>
              <w:jc w:val="left"/>
            </w:pPr>
            <w:r>
              <w:t xml:space="preserve">€8,100.00</w:t>
            </w:r>
          </w:p>
        </w:tc>
      </w:tr>
      <w:tr>
        <w:tc>
          <w:tcPr/>
          <w:p>
            <w:pPr>
              <w:pStyle w:val="Compact"/>
              <w:jc w:val="left"/>
            </w:pPr>
            <w:r>
              <w:t xml:space="preserve">03</w:t>
            </w:r>
          </w:p>
        </w:tc>
        <w:tc>
          <w:tcPr/>
          <w:p>
            <w:pPr>
              <w:pStyle w:val="Compact"/>
              <w:jc w:val="left"/>
            </w:pPr>
            <w:r>
              <w:t xml:space="preserve">Optimization &amp; Operations Research Consulting</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Academic &amp; Technical Documentation (per report)</w:t>
            </w:r>
          </w:p>
        </w:tc>
        <w:tc>
          <w:tcPr/>
          <w:p>
            <w:pPr>
              <w:pStyle w:val="Compact"/>
              <w:jc w:val="left"/>
            </w:pPr>
            <w:r>
              <w:t xml:space="preserve">6 reports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On-Site Consultation Sessions in Frankfurt</w:t>
            </w:r>
          </w:p>
        </w:tc>
        <w:tc>
          <w:tcPr/>
          <w:p>
            <w:pPr>
              <w:pStyle w:val="Compact"/>
              <w:jc w:val="left"/>
            </w:pPr>
            <w:r>
              <w:t xml:space="preserve">36 sessions (12/month × 3 months)</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06</w:t>
            </w:r>
          </w:p>
        </w:tc>
        <w:tc>
          <w:tcPr/>
          <w:p>
            <w:pPr>
              <w:pStyle w:val="Compact"/>
              <w:jc w:val="left"/>
            </w:pPr>
            <w:r>
              <w:t xml:space="preserve">Training Workshops (full-day, Frankfurt venue)</w:t>
            </w:r>
          </w:p>
        </w:tc>
        <w:tc>
          <w:tcPr/>
          <w:p>
            <w:pPr>
              <w:pStyle w:val="Compact"/>
              <w:jc w:val="left"/>
            </w:pPr>
            <w:r>
              <w:t xml:space="preserve">2 workshops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07</w:t>
            </w:r>
          </w:p>
        </w:tc>
        <w:tc>
          <w:tcPr/>
          <w:p>
            <w:pPr>
              <w:pStyle w:val="Compact"/>
              <w:jc w:val="left"/>
            </w:pPr>
            <w:r>
              <w:t xml:space="preserve">Travel &amp; Local Transportation within Frankfurt am Main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Software Licenses &amp; Computational Resources (MATLAB, R, Python stack)</w:t>
            </w:r>
          </w:p>
        </w:tc>
        <w:tc>
          <w:tcPr/>
          <w:p>
            <w:pPr>
              <w:pStyle w:val="Compact"/>
              <w:jc w:val="left"/>
            </w:pPr>
            <w:r>
              <w:t xml:space="preserve">3-month period</w:t>
            </w:r>
          </w:p>
        </w:tc>
        <w:tc>
          <w:tcPr/>
          <w:p>
            <w:pPr>
              <w:pStyle w:val="Compact"/>
              <w:jc w:val="left"/>
            </w:pPr>
            <w:r>
              <w:t xml:space="preserve">—</w:t>
            </w:r>
          </w:p>
        </w:tc>
        <w:tc>
          <w:tcPr/>
          <w:p>
            <w:pPr>
              <w:pStyle w:val="Compact"/>
              <w:jc w:val="left"/>
            </w:pPr>
            <w:r>
              <w:t xml:space="preserve">€2,400.00</w:t>
            </w:r>
          </w:p>
        </w:tc>
      </w:tr>
      <w:tr>
        <w:tc>
          <w:tcPr>
            <w:gridSpan w:val="4"/>
          </w:tcPr>
          <w:p>
            <w:pPr>
              <w:pStyle w:val="Compact"/>
              <w:jc w:val="left"/>
            </w:pPr>
            <w:r>
              <w:t xml:space="preserve">Subtotal (before VAT)</w:t>
            </w:r>
          </w:p>
        </w:tc>
        <w:tc>
          <w:tcPr/>
          <w:p>
            <w:pPr>
              <w:pStyle w:val="Compact"/>
              <w:jc w:val="left"/>
            </w:pPr>
            <w:r>
              <w:t xml:space="preserve">€59,000.00</w:t>
            </w:r>
          </w:p>
        </w:tc>
      </w:tr>
      <w:tr>
        <w:tc>
          <w:tcPr>
            <w:gridSpan w:val="4"/>
          </w:tcPr>
          <w:p>
            <w:pPr>
              <w:pStyle w:val="Compact"/>
              <w:jc w:val="left"/>
            </w:pPr>
            <w:r>
              <w:t xml:space="preserve">VAT (Mehrwertsteuer) — 19% (German standard rate)</w:t>
            </w:r>
          </w:p>
        </w:tc>
        <w:tc>
          <w:tcPr/>
          <w:p>
            <w:pPr>
              <w:pStyle w:val="Compact"/>
              <w:jc w:val="left"/>
            </w:pPr>
            <w:r>
              <w:t xml:space="preserve">€11,210.00</w:t>
            </w:r>
          </w:p>
        </w:tc>
      </w:tr>
      <w:tr>
        <w:tc>
          <w:tcPr>
            <w:gridSpan w:val="4"/>
          </w:tcPr>
          <w:p>
            <w:pPr>
              <w:pStyle w:val="Compact"/>
              <w:jc w:val="left"/>
            </w:pPr>
            <w:r>
              <w:rPr>
                <w:bCs/>
                <w:b/>
              </w:rPr>
              <w:t xml:space="preserve">Grand Total (Quotation Estimate Amount)</w:t>
            </w:r>
          </w:p>
        </w:tc>
        <w:tc>
          <w:tcPr/>
          <w:p>
            <w:pPr>
              <w:pStyle w:val="Compact"/>
              <w:jc w:val="left"/>
            </w:pPr>
            <w:r>
              <w:rPr>
                <w:bCs/>
                <w:b/>
              </w:rPr>
              <w:t xml:space="preserve">€70,210.00</w:t>
            </w:r>
          </w:p>
        </w:tc>
      </w:tr>
    </w:tbl>
    <w:bookmarkEnd w:id="23"/>
    <w:bookmarkStart w:id="24" w:name="assumptions-exclusions"/>
    <w:p>
      <w:pPr>
        <w:pStyle w:val="Heading2"/>
      </w:pPr>
      <w:r>
        <w:t xml:space="preserve">4. Assumptions &amp; Exclusions</w:t>
      </w:r>
    </w:p>
    <w:p>
      <w:pPr>
        <w:pStyle w:val="FirstParagraph"/>
      </w:pPr>
      <w:r>
        <w:t xml:space="preserve">This Quotation Estimate assumes that the client will provide all necessary datasets, access credentials, and preliminary documentation prior to the commencement of the Mathematician’s work. The Quotation Estimate does not include costs for international travel, accommodation outside the Frankfurt am Main city limits, or any third-party licensing fees beyond those explicitly listed in Item 08. Should the scope of work expand beyond the parameters defined in Section 2, a supplementary Quotation Estimate will be issued prior to any additional work being performed.</w:t>
      </w:r>
    </w:p>
    <w:bookmarkEnd w:id="24"/>
    <w:bookmarkStart w:id="25" w:name="payment-terms"/>
    <w:p>
      <w:pPr>
        <w:pStyle w:val="Heading2"/>
      </w:pPr>
      <w:r>
        <w:t xml:space="preserve">5. Payment Terms</w:t>
      </w:r>
    </w:p>
    <w:p>
      <w:pPr>
        <w:pStyle w:val="FirstParagraph"/>
      </w:pPr>
      <w:r>
        <w:t xml:space="preserve">Payment for the services described in this Quotation Estimate shall be made in accordance with the following schedule: 30% advance payment upon written acceptance of this Quotation Estimate; 40% upon completion of the second month of services; and the remaining 30% upon final delivery of all reports and completion of the training workshops. All payments shall be transferred via SEPA bank transfer to the account of the Mathematician’s registered business entity in Frankfurt, Germany. Invoices shall be issued in accordance with the German Invoice Regulation (Rechnungsstellungsverordnung, §14 UStG).</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thirty (30) calendar days from the date of issue. After this period, all rates and availability must be reconfirmed in writing.</w:t>
      </w:r>
    </w:p>
    <w:p>
      <w:pPr>
        <w:numPr>
          <w:ilvl w:val="0"/>
          <w:numId w:val="1002"/>
        </w:numPr>
        <w:pStyle w:val="Compact"/>
      </w:pPr>
      <w:r>
        <w:t xml:space="preserve">The Mathematician reserves the right to decline or modify the scope of work if the client’s requirements fall outside the Mathematician’s area of professional competence or if ethical or legal constraints under German law (BGB, HGB) apply.</w:t>
      </w:r>
    </w:p>
    <w:p>
      <w:pPr>
        <w:numPr>
          <w:ilvl w:val="0"/>
          <w:numId w:val="1002"/>
        </w:numPr>
        <w:pStyle w:val="Compact"/>
      </w:pPr>
      <w:r>
        <w:t xml:space="preserve">All intellectual property generated specifically for the client under this engagement shall be transferred to the client upon full payment, as governed by German copyright law (Urheberrechtsgesetz, UrhG).</w:t>
      </w:r>
    </w:p>
    <w:p>
      <w:pPr>
        <w:numPr>
          <w:ilvl w:val="0"/>
          <w:numId w:val="1002"/>
        </w:numPr>
        <w:pStyle w:val="Compact"/>
      </w:pPr>
      <w:r>
        <w:t xml:space="preserve">Confidentiality obligations shall be maintained in accordance with the German Federal Data Protection Act (Bundesdatenschutzgesetz, BDSG) and the EU General Data Protection Regulation (GDPR).</w:t>
      </w:r>
    </w:p>
    <w:p>
      <w:pPr>
        <w:numPr>
          <w:ilvl w:val="0"/>
          <w:numId w:val="1002"/>
        </w:numPr>
        <w:pStyle w:val="Compact"/>
      </w:pPr>
      <w:r>
        <w:t xml:space="preserve">Any disputes arising from this Quotation Estimate or the subsequent service agreement shall be subject to the exclusive jurisdiction of the competent courts in Frankfurt am Main, Germany.</w:t>
      </w:r>
    </w:p>
    <w:p>
      <w:pPr>
        <w:numPr>
          <w:ilvl w:val="0"/>
          <w:numId w:val="1002"/>
        </w:numPr>
        <w:pStyle w:val="Compact"/>
      </w:pPr>
      <w:r>
        <w:t xml:space="preserve">This Quotation Estimate is governed by the laws of the Federal Republic of Germany.</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terms, conditions, and cost projections outlined herein. The Mathematician’s services in Frankfurt, Germany, shall commence on the date specified in the subsequent service agreement, which shall be executed within fourteen (14) days of acceptance of this Quotation Estimate.</w:t>
      </w:r>
    </w:p>
    <w:p>
      <w:pPr>
        <w:pStyle w:val="BodyText"/>
      </w:pPr>
      <w:r>
        <w:rPr>
          <w:bCs/>
          <w:b/>
        </w:rPr>
        <w:t xml:space="preserve">For the Mathematician / Service Provider:</w:t>
      </w:r>
    </w:p>
    <w:p>
      <w:pPr>
        <w:pStyle w:val="BodyText"/>
      </w:pPr>
      <w:r>
        <w:t xml:space="preserve">Dr. Heinrich Vogel, PhD</w:t>
      </w:r>
      <w:r>
        <w:br/>
      </w:r>
      <w:r>
        <w:t xml:space="preserve">Mathematician — Frankfurt am Main, Germany</w:t>
      </w:r>
      <w:r>
        <w:br/>
      </w:r>
      <w:r>
        <w:t xml:space="preserve">Date: ______________________</w:t>
      </w:r>
    </w:p>
    <w:p>
      <w:pPr>
        <w:pStyle w:val="BodyText"/>
      </w:pPr>
      <w:r>
        <w:rPr>
          <w:bCs/>
          <w:b/>
        </w:rPr>
        <w:t xml:space="preserve">For the Client:</w:t>
      </w:r>
    </w:p>
    <w:p>
      <w:pPr>
        <w:pStyle w:val="BodyText"/>
      </w:pPr>
      <w:r>
        <w:t xml:space="preserve">Name / Company: ______________________</w:t>
      </w:r>
      <w:r>
        <w:br/>
      </w:r>
      <w:r>
        <w:t xml:space="preserve">Authorized Representative: ______________________</w:t>
      </w:r>
      <w:r>
        <w:br/>
      </w:r>
      <w:r>
        <w:t xml:space="preserve">Date: ______________________</w:t>
      </w:r>
    </w:p>
    <w:p>
      <w:pPr>
        <w:pStyle w:val="BodyText"/>
      </w:pPr>
      <w:r>
        <w:rPr>
          <w:bCs/>
          <w:b/>
        </w:rPr>
        <w:t xml:space="preserve">Note:</w:t>
      </w:r>
      <w:r>
        <w:t xml:space="preserve"> </w:t>
      </w:r>
      <w:r>
        <w:t xml:space="preserve">This Quotation Estimate (QTE-FRA-2025-0417) is a non-binding document issued for the purpose of cost estimation and service planning. It does not create a contractual obligation until a formal service agreement is executed by both parties. All references to Frankfurt am Main, Germany, pertain to the primary service delivery location. The Mathematician’s professional registration and tax identification are on file with the relevant authorities in Hesse, Germany. For questions regarding this Quotation Estimate, please contact the undersigned Mathematician at the Frankfurt office during standard business hours (Monday–Friday, 08:00–17:00 CET).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Frankfurt, Germany</dc:title>
  <dc:creator/>
  <dc:language>en</dc:language>
  <cp:keywords/>
  <dcterms:created xsi:type="dcterms:W3CDTF">2026-10-10T02:13:53Z</dcterms:created>
  <dcterms:modified xsi:type="dcterms:W3CDTF">2026-10-10T02:13:53Z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