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Numerika Solusi Indonesia</w:t>
      </w:r>
    </w:p>
    <w:p>
      <w:pPr>
        <w:pStyle w:val="BodyText"/>
      </w:pPr>
      <w:r>
        <w:t xml:space="preserve">Jl. Jend. Sudirman Kav. 52-53, SCBD District, Jakarta Selatan 12190, Indonesia Jakarta</w:t>
      </w:r>
    </w:p>
    <w:p>
      <w:pPr>
        <w:pStyle w:val="BodyText"/>
      </w:pPr>
      <w:r>
        <w:t xml:space="preserve">Tel: +62-21-5790-4455 | Email: quotation@numerikasolusi.co.id</w:t>
      </w:r>
    </w:p>
    <w:p>
      <w:pPr>
        <w:pStyle w:val="BodyText"/>
      </w:pPr>
      <w:r>
        <w:t xml:space="preserve">NPWP: 01.234.567.8-011.000 | Business License (NIB): 1203001234567</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QTE/2025/JKT/00472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PT. Artha Teknologi Nusantara</w:t>
            </w:r>
            <w:r>
              <w:br/>
            </w:r>
            <w:r>
              <w:t xml:space="preserve">Jl. Gatot Subroto No. 88, Jakarta Pusat 10270, Indonesia Jakarta</w:t>
            </w:r>
          </w:p>
        </w:tc>
      </w:tr>
      <w:tr>
        <w:tc>
          <w:tcPr/>
          <w:p>
            <w:pPr>
              <w:pStyle w:val="Compact"/>
              <w:jc w:val="left"/>
            </w:pPr>
            <w:r>
              <w:t xml:space="preserve">Attn:</w:t>
            </w:r>
          </w:p>
        </w:tc>
        <w:tc>
          <w:tcPr/>
          <w:p>
            <w:pPr>
              <w:pStyle w:val="Compact"/>
              <w:jc w:val="left"/>
            </w:pPr>
            <w:r>
              <w:t xml:space="preserve">Mr. Budi Santoso, Head of Research &amp; Development</w:t>
            </w:r>
          </w:p>
        </w:tc>
      </w:tr>
      <w:tr>
        <w:tc>
          <w:tcPr/>
          <w:p>
            <w:pPr>
              <w:pStyle w:val="Compact"/>
              <w:jc w:val="left"/>
            </w:pPr>
            <w:r>
              <w:t xml:space="preserve">Project Reference:</w:t>
            </w:r>
          </w:p>
        </w:tc>
        <w:tc>
          <w:tcPr/>
          <w:p>
            <w:pPr>
              <w:pStyle w:val="Compact"/>
              <w:jc w:val="left"/>
            </w:pPr>
            <w:r>
              <w:t xml:space="preserve">Advanced Mathematical Modelling for Financial Risk Analytics</w:t>
            </w:r>
          </w:p>
        </w:tc>
      </w:tr>
      <w:tr>
        <w:tc>
          <w:tcPr/>
          <w:p>
            <w:pPr>
              <w:pStyle w:val="Compact"/>
              <w:jc w:val="left"/>
            </w:pPr>
            <w:r>
              <w:t xml:space="preserve">Prepared By:</w:t>
            </w:r>
          </w:p>
        </w:tc>
        <w:tc>
          <w:tcPr/>
          <w:p>
            <w:pPr>
              <w:pStyle w:val="Compact"/>
              <w:jc w:val="left"/>
            </w:pPr>
            <w:r>
              <w:t xml:space="preserve">Dr. Ratna Wijaya, Senior Mathematician &amp; Project Lead</w:t>
            </w:r>
          </w:p>
        </w:tc>
      </w:tr>
    </w:tbl>
    <w:p>
      <w:pPr>
        <w:pStyle w:val="BodyText"/>
      </w:pPr>
      <w:r>
        <w:t xml:space="preserve">1. Scope of Services – Mathematician Engagement</w:t>
      </w:r>
    </w:p>
    <w:p>
      <w:pPr>
        <w:pStyle w:val="BodyText"/>
      </w:pPr>
      <w:r>
        <w:t xml:space="preserve">This</w:t>
      </w:r>
      <w:r>
        <w:t xml:space="preserve"> </w:t>
      </w:r>
      <w:r>
        <w:t xml:space="preserve">Quotation Estimate</w:t>
      </w:r>
      <w:r>
        <w:t xml:space="preserve"> </w:t>
      </w:r>
      <w:r>
        <w:t xml:space="preserve">is issued by PT. Numerika Solusi Indonesia to formally outline the professional services to be rendered by a qualified</w:t>
      </w:r>
      <w:r>
        <w:t xml:space="preserve"> </w:t>
      </w:r>
      <w:r>
        <w:t xml:space="preserve">Mathematician</w:t>
      </w:r>
      <w:r>
        <w:t xml:space="preserve"> </w:t>
      </w:r>
      <w:r>
        <w:t xml:space="preserve">in support of the client's research and development programme. The engagement is based in</w:t>
      </w:r>
      <w:r>
        <w:t xml:space="preserve"> </w:t>
      </w:r>
      <w:r>
        <w:t xml:space="preserve">Indonesia Jakarta</w:t>
      </w:r>
      <w:r>
        <w:t xml:space="preserve">, specifically at the client's premises located in Jakarta Pusat, and encompasses the following deliverables and activities: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Mathematician Services</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Subtotal (IDR)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and mathematical feasibility study for stochastic modelling of portfolio risk. The Mathematician will conduct a comprehensive literature review and propose suitable analytical frameworks.</w:t>
            </w:r>
          </w:p>
        </w:tc>
        <w:tc>
          <w:tcPr/>
          <w:p>
            <w:pPr>
              <w:pStyle w:val="Compact"/>
              <w:jc w:val="left"/>
            </w:pPr>
            <w:r>
              <w:t xml:space="preserve">2 weeks</w:t>
            </w:r>
          </w:p>
        </w:tc>
        <w:tc>
          <w:tcPr/>
          <w:p>
            <w:pPr>
              <w:pStyle w:val="Compact"/>
              <w:jc w:val="left"/>
            </w:pPr>
            <w:r>
              <w:t xml:space="preserve">25,000,000</w:t>
            </w:r>
          </w:p>
        </w:tc>
        <w:tc>
          <w:tcPr/>
          <w:p>
            <w:pPr>
              <w:pStyle w:val="Compact"/>
              <w:jc w:val="left"/>
            </w:pPr>
            <w:r>
              <w:t xml:space="preserve">50,000,000</w:t>
            </w:r>
          </w:p>
        </w:tc>
        <w:tc>
          <w:tcPr/>
          <w:p>
            <w:pPr>
              <w:pStyle w:val="Compact"/>
              <w:jc w:val="left"/>
            </w:pPr>
            <w:r>
              <w:t xml:space="preserve">On-site, Jakarta</w:t>
            </w:r>
          </w:p>
        </w:tc>
      </w:tr>
      <w:tr>
        <w:tc>
          <w:tcPr/>
          <w:p>
            <w:pPr>
              <w:pStyle w:val="Compact"/>
              <w:jc w:val="left"/>
            </w:pPr>
            <w:r>
              <w:t xml:space="preserve">2</w:t>
            </w:r>
          </w:p>
        </w:tc>
        <w:tc>
          <w:tcPr/>
          <w:p>
            <w:pPr>
              <w:pStyle w:val="Compact"/>
              <w:jc w:val="left"/>
            </w:pPr>
            <w:r>
              <w:t xml:space="preserve">Development of differential equation models and Monte Carlo simulation algorithms. The Mathematician will design, derive, and validate all mathematical formulations in collaboration with the client's data engineering team.</w:t>
            </w:r>
          </w:p>
        </w:tc>
        <w:tc>
          <w:tcPr/>
          <w:p>
            <w:pPr>
              <w:pStyle w:val="Compact"/>
              <w:jc w:val="left"/>
            </w:pPr>
            <w:r>
              <w:t xml:space="preserve">6 weeks</w:t>
            </w:r>
          </w:p>
        </w:tc>
        <w:tc>
          <w:tcPr/>
          <w:p>
            <w:pPr>
              <w:pStyle w:val="Compact"/>
              <w:jc w:val="left"/>
            </w:pPr>
            <w:r>
              <w:t xml:space="preserve">35,000,000</w:t>
            </w:r>
          </w:p>
        </w:tc>
        <w:tc>
          <w:tcPr/>
          <w:p>
            <w:pPr>
              <w:pStyle w:val="Compact"/>
              <w:jc w:val="left"/>
            </w:pPr>
            <w:r>
              <w:t xml:space="preserve">210,000,000</w:t>
            </w:r>
          </w:p>
        </w:tc>
        <w:tc>
          <w:tcPr/>
          <w:p>
            <w:pPr>
              <w:pStyle w:val="Compact"/>
              <w:jc w:val="left"/>
            </w:pPr>
            <w:r>
              <w:t xml:space="preserve">On-site + remote</w:t>
            </w:r>
          </w:p>
        </w:tc>
      </w:tr>
      <w:tr>
        <w:tc>
          <w:tcPr/>
          <w:p>
            <w:pPr>
              <w:pStyle w:val="Compact"/>
              <w:jc w:val="left"/>
            </w:pPr>
            <w:r>
              <w:t xml:space="preserve">3</w:t>
            </w:r>
          </w:p>
        </w:tc>
        <w:tc>
          <w:tcPr/>
          <w:p>
            <w:pPr>
              <w:pStyle w:val="Compact"/>
              <w:jc w:val="left"/>
            </w:pPr>
            <w:r>
              <w:t xml:space="preserve">Statistical analysis, hypothesis testing, and Bayesian inference implementation. The Mathematician will perform rigorous numerical computations and provide peer-reviewed quality documentation of all derivations.</w:t>
            </w:r>
          </w:p>
        </w:tc>
        <w:tc>
          <w:tcPr/>
          <w:p>
            <w:pPr>
              <w:pStyle w:val="Compact"/>
              <w:jc w:val="left"/>
            </w:pPr>
            <w:r>
              <w:t xml:space="preserve">4 weeks</w:t>
            </w:r>
          </w:p>
        </w:tc>
        <w:tc>
          <w:tcPr/>
          <w:p>
            <w:pPr>
              <w:pStyle w:val="Compact"/>
              <w:jc w:val="left"/>
            </w:pPr>
            <w:r>
              <w:t xml:space="preserve">30,000,000</w:t>
            </w:r>
          </w:p>
        </w:tc>
        <w:tc>
          <w:tcPr/>
          <w:p>
            <w:pPr>
              <w:pStyle w:val="Compact"/>
              <w:jc w:val="left"/>
            </w:pPr>
            <w:r>
              <w:t xml:space="preserve">120,000,000</w:t>
            </w:r>
          </w:p>
        </w:tc>
        <w:tc>
          <w:tcPr/>
          <w:p>
            <w:pPr>
              <w:pStyle w:val="Compact"/>
              <w:jc w:val="left"/>
            </w:pPr>
            <w:r>
              <w:t xml:space="preserve">On-site, Jakarta</w:t>
            </w:r>
          </w:p>
        </w:tc>
      </w:tr>
      <w:tr>
        <w:tc>
          <w:tcPr/>
          <w:p>
            <w:pPr>
              <w:pStyle w:val="Compact"/>
              <w:jc w:val="left"/>
            </w:pPr>
            <w:r>
              <w:t xml:space="preserve">4</w:t>
            </w:r>
          </w:p>
        </w:tc>
        <w:tc>
          <w:tcPr/>
          <w:p>
            <w:pPr>
              <w:pStyle w:val="Compact"/>
              <w:jc w:val="left"/>
            </w:pPr>
            <w:r>
              <w:t xml:space="preserve">Optimisation problem formulation and solution using convex and non-convex methods. The Mathematician will deliver a complete mathematical proof of convergence and sensitivity analysis report.</w:t>
            </w:r>
          </w:p>
        </w:tc>
        <w:tc>
          <w:tcPr/>
          <w:p>
            <w:pPr>
              <w:pStyle w:val="Compact"/>
              <w:jc w:val="left"/>
            </w:pPr>
            <w:r>
              <w:t xml:space="preserve">3 weeks</w:t>
            </w:r>
          </w:p>
        </w:tc>
        <w:tc>
          <w:tcPr/>
          <w:p>
            <w:pPr>
              <w:pStyle w:val="Compact"/>
              <w:jc w:val="left"/>
            </w:pPr>
            <w:r>
              <w:t xml:space="preserve">32,000,000</w:t>
            </w:r>
          </w:p>
        </w:tc>
        <w:tc>
          <w:tcPr/>
          <w:p>
            <w:pPr>
              <w:pStyle w:val="Compact"/>
              <w:jc w:val="left"/>
            </w:pPr>
            <w:r>
              <w:t xml:space="preserve">96,000,000</w:t>
            </w:r>
          </w:p>
        </w:tc>
        <w:tc>
          <w:tcPr/>
          <w:p>
            <w:pPr>
              <w:pStyle w:val="Compact"/>
              <w:jc w:val="left"/>
            </w:pPr>
            <w:r>
              <w:t xml:space="preserve">Hybrid</w:t>
            </w:r>
          </w:p>
        </w:tc>
      </w:tr>
      <w:tr>
        <w:tc>
          <w:tcPr/>
          <w:p>
            <w:pPr>
              <w:pStyle w:val="Compact"/>
              <w:jc w:val="left"/>
            </w:pPr>
            <w:r>
              <w:t xml:space="preserve">5</w:t>
            </w:r>
          </w:p>
        </w:tc>
        <w:tc>
          <w:tcPr/>
          <w:p>
            <w:pPr>
              <w:pStyle w:val="Compact"/>
              <w:jc w:val="left"/>
            </w:pPr>
            <w:r>
              <w:t xml:space="preserve">Final technical report, presentation to stakeholders, and knowledge transfer session. The Mathematician will present all findings, mathematical proofs, and recommendations to the client's executive board in Indonesia Jakarta.</w:t>
            </w:r>
          </w:p>
        </w:tc>
        <w:tc>
          <w:tcPr/>
          <w:p>
            <w:pPr>
              <w:pStyle w:val="Compact"/>
              <w:jc w:val="left"/>
            </w:pPr>
            <w:r>
              <w:t xml:space="preserve">1 week</w:t>
            </w:r>
          </w:p>
        </w:tc>
        <w:tc>
          <w:tcPr/>
          <w:p>
            <w:pPr>
              <w:pStyle w:val="Compact"/>
              <w:jc w:val="left"/>
            </w:pPr>
            <w:r>
              <w:t xml:space="preserve">20,000,000</w:t>
            </w:r>
          </w:p>
        </w:tc>
        <w:tc>
          <w:tcPr/>
          <w:p>
            <w:pPr>
              <w:pStyle w:val="Compact"/>
              <w:jc w:val="left"/>
            </w:pPr>
            <w:r>
              <w:t xml:space="preserve">20,000,000</w:t>
            </w:r>
          </w:p>
        </w:tc>
        <w:tc>
          <w:tcPr/>
          <w:p>
            <w:pPr>
              <w:pStyle w:val="Compact"/>
              <w:jc w:val="left"/>
            </w:pPr>
            <w:r>
              <w:t xml:space="preserve">On-site, Jakarta</w:t>
            </w:r>
          </w:p>
        </w:tc>
      </w:tr>
      <w:tr>
        <w:tc>
          <w:tcPr/>
          <w:p>
            <w:pPr>
              <w:pStyle w:val="Compact"/>
              <w:jc w:val="left"/>
            </w:pPr>
            <w:r>
              <w:t xml:space="preserve">6</w:t>
            </w:r>
          </w:p>
        </w:tc>
        <w:tc>
          <w:tcPr/>
          <w:p>
            <w:pPr>
              <w:pStyle w:val="Compact"/>
              <w:jc w:val="left"/>
            </w:pPr>
            <w:r>
              <w:t xml:space="preserve">Post-delivery support and mathematical advisory (on-call basis). The Mathematician will be available for clarification, model refinement, and answering technical queries for a period of three months following project completion.</w:t>
            </w:r>
          </w:p>
        </w:tc>
        <w:tc>
          <w:tcPr/>
          <w:p>
            <w:pPr>
              <w:pStyle w:val="Compact"/>
              <w:jc w:val="left"/>
            </w:pPr>
            <w:r>
              <w:t xml:space="preserve">3 months</w:t>
            </w:r>
          </w:p>
        </w:tc>
        <w:tc>
          <w:tcPr/>
          <w:p>
            <w:pPr>
              <w:pStyle w:val="Compact"/>
              <w:jc w:val="left"/>
            </w:pPr>
            <w:r>
              <w:t xml:space="preserve">15,000,000</w:t>
            </w:r>
          </w:p>
        </w:tc>
        <w:tc>
          <w:tcPr/>
          <w:p>
            <w:pPr>
              <w:pStyle w:val="Compact"/>
              <w:jc w:val="left"/>
            </w:pPr>
            <w:r>
              <w:t xml:space="preserve">45,000,000</w:t>
            </w:r>
          </w:p>
        </w:tc>
        <w:tc>
          <w:tcPr/>
          <w:p>
            <w:pPr>
              <w:pStyle w:val="Compact"/>
              <w:jc w:val="left"/>
            </w:pPr>
            <w:r>
              <w:t xml:space="preserve">Remote / on-call</w:t>
            </w:r>
          </w:p>
        </w:tc>
      </w:tr>
      <w:tr>
        <w:tc>
          <w:tcPr>
            <w:gridSpan w:val="4"/>
          </w:tcPr>
          <w:p>
            <w:pPr>
              <w:pStyle w:val="Compact"/>
              <w:jc w:val="left"/>
            </w:pPr>
            <w:r>
              <w:t xml:space="preserve">TOTAL ESTIMATED COST (Before Tax)</w:t>
            </w:r>
          </w:p>
        </w:tc>
        <w:tc>
          <w:tcPr/>
          <w:p>
            <w:pPr>
              <w:pStyle w:val="Compact"/>
              <w:jc w:val="left"/>
            </w:pPr>
            <w:r>
              <w:t xml:space="preserve">541,000,000</w:t>
            </w:r>
          </w:p>
        </w:tc>
        <w:tc>
          <w:tcPr/>
          <w:p>
            <w:pPr>
              <w:pStyle w:val="Compact"/>
            </w:pPr>
          </w:p>
        </w:tc>
      </w:tr>
      <w:tr>
        <w:tc>
          <w:tcPr>
            <w:gridSpan w:val="4"/>
          </w:tcPr>
          <w:p>
            <w:pPr>
              <w:pStyle w:val="Compact"/>
              <w:jc w:val="left"/>
            </w:pPr>
            <w:r>
              <w:t xml:space="preserve">VAT (PPN) 11% – Indonesia Jakarta jurisdiction</w:t>
            </w:r>
          </w:p>
        </w:tc>
        <w:tc>
          <w:tcPr/>
          <w:p>
            <w:pPr>
              <w:pStyle w:val="Compact"/>
              <w:jc w:val="left"/>
            </w:pPr>
            <w:r>
              <w:t xml:space="preserve">59,510,000</w:t>
            </w:r>
          </w:p>
        </w:tc>
        <w:tc>
          <w:tcPr/>
          <w:p>
            <w:pPr>
              <w:pStyle w:val="Compact"/>
              <w:jc w:val="left"/>
            </w:pPr>
            <w:r>
              <w:t xml:space="preserve">Per PP No. 55/2022</w:t>
            </w:r>
          </w:p>
        </w:tc>
      </w:tr>
      <w:tr>
        <w:tc>
          <w:tcPr>
            <w:gridSpan w:val="4"/>
          </w:tcPr>
          <w:p>
            <w:pPr>
              <w:pStyle w:val="Compact"/>
              <w:jc w:val="left"/>
            </w:pPr>
            <w:r>
              <w:t xml:space="preserve">GRAND TOTAL (IDR)</w:t>
            </w:r>
          </w:p>
        </w:tc>
        <w:tc>
          <w:tcPr/>
          <w:p>
            <w:pPr>
              <w:pStyle w:val="Compact"/>
              <w:jc w:val="left"/>
            </w:pPr>
            <w:r>
              <w:t xml:space="preserve">600,510,000</w:t>
            </w:r>
          </w:p>
        </w:tc>
        <w:tc>
          <w:tcPr/>
          <w:p>
            <w:pPr>
              <w:pStyle w:val="Compact"/>
            </w:pPr>
          </w:p>
        </w:tc>
      </w:tr>
    </w:tbl>
    <w:p>
      <w:pPr>
        <w:pStyle w:val="BodyText"/>
      </w:pPr>
      <w:r>
        <w:t xml:space="preserve">2. Mathematician Qualifications and Credentials</w:t>
      </w:r>
    </w:p>
    <w:p>
      <w:pPr>
        <w:pStyle w:val="BodyText"/>
      </w:pPr>
      <w:r>
        <w:t xml:space="preserve">The</w:t>
      </w:r>
      <w:r>
        <w:t xml:space="preserve"> </w:t>
      </w:r>
      <w:r>
        <w:t xml:space="preserve">Mathematician</w:t>
      </w:r>
      <w:r>
        <w:t xml:space="preserve"> </w:t>
      </w:r>
      <w:r>
        <w:t xml:space="preserve">assigned to this project, Dr. Ratna Wijaya, holds a Ph.D. in Applied Mathematics from the University of Indonesia (UI), Jakarta, with a specialisation in stochastic processes and numerical optimisation. She possesses over fifteen years of professional experience in quantitative research, mathematical modelling, and computational analysis. Her credentials include publications in the</w:t>
      </w:r>
      <w:r>
        <w:t xml:space="preserve"> </w:t>
      </w:r>
      <w:r>
        <w:rPr>
          <w:iCs/>
          <w:i/>
        </w:rPr>
        <w:t xml:space="preserve">Journal of Mathematical Analysis and Applications</w:t>
      </w:r>
      <w:r>
        <w:t xml:space="preserve">, membership in the Indonesian Mathematical Society (HIMATI), and prior engagements with leading financial institutions operating in</w:t>
      </w:r>
      <w:r>
        <w:t xml:space="preserve"> </w:t>
      </w:r>
      <w:r>
        <w:t xml:space="preserve">Indonesia Jakarta</w:t>
      </w:r>
      <w:r>
        <w:t xml:space="preserve">. All work performed under this</w:t>
      </w:r>
      <w:r>
        <w:t xml:space="preserve"> </w:t>
      </w:r>
      <w:r>
        <w:t xml:space="preserve">Quotation Estimate</w:t>
      </w:r>
      <w:r>
        <w:t xml:space="preserve"> </w:t>
      </w:r>
      <w:r>
        <w:t xml:space="preserve">will be executed in strict compliance with the client's intellectual property policies and data confidentiality agreements.</w:t>
      </w:r>
    </w:p>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without prior notice.</w:t>
      </w:r>
    </w:p>
    <w:p>
      <w:pPr>
        <w:numPr>
          <w:ilvl w:val="0"/>
          <w:numId w:val="1001"/>
        </w:numPr>
        <w:pStyle w:val="Compact"/>
      </w:pPr>
      <w:r>
        <w:t xml:space="preserve">Payment terms: 40% advance payment upon acceptance of this Quotation Estimate, 35% upon completion of the core modelling phase (Item 2), and 25% upon final delivery and acceptance of all deliverables. All payments shall be made via bank transfer to the account of PT. Numerika Solusi Indonesia, Bank Mandiri, Indonesia Jakarta branch.</w:t>
      </w:r>
    </w:p>
    <w:p>
      <w:pPr>
        <w:numPr>
          <w:ilvl w:val="0"/>
          <w:numId w:val="1001"/>
        </w:numPr>
        <w:pStyle w:val="Compact"/>
      </w:pPr>
      <w:r>
        <w:t xml:space="preserve">The Mathematician shall devote a minimum of forty (40) working hours per week during on-site phases. Any additional hours beyond the agreed scope will be billed at a rate of IDR 1,250,000 per hour, subject to prior written approval by the client.</w:t>
      </w:r>
    </w:p>
    <w:p>
      <w:pPr>
        <w:numPr>
          <w:ilvl w:val="0"/>
          <w:numId w:val="1001"/>
        </w:numPr>
        <w:pStyle w:val="Compact"/>
      </w:pPr>
      <w:r>
        <w:t xml:space="preserve">All mathematical documentation, source code, proofs, and reports produced under this engagement shall become the exclusive property of the client upon full payment. The Mathematician retains the right to reference the work in academic publications only with the client's written consent.</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negotiation.</w:t>
      </w:r>
    </w:p>
    <w:p>
      <w:pPr>
        <w:numPr>
          <w:ilvl w:val="0"/>
          <w:numId w:val="1001"/>
        </w:numPr>
        <w:pStyle w:val="Compact"/>
      </w:pPr>
      <w:r>
        <w:t xml:space="preserve">Force majeure events, including but not limited to natural disasters, government-mandated closures, or public health emergencies affecting Indonesia Jakarta, shall suspend project timelines proportionally without penalty to either party.</w:t>
      </w:r>
    </w:p>
    <w:p>
      <w:pPr>
        <w:numPr>
          <w:ilvl w:val="0"/>
          <w:numId w:val="1001"/>
        </w:numPr>
        <w:pStyle w:val="Compact"/>
      </w:pPr>
      <w:r>
        <w:t xml:space="preserve">Any disputes arising from this Quotation Estimate or the subsequent engagement shall be resolved through mediation in Jakarta, Indonesia, in accordance with the laws of the Republic of Indonesia.</w:t>
      </w:r>
    </w:p>
    <w:p>
      <w:pPr>
        <w:numPr>
          <w:ilvl w:val="0"/>
          <w:numId w:val="1001"/>
        </w:numPr>
        <w:pStyle w:val="Compact"/>
      </w:pPr>
      <w:r>
        <w:t xml:space="preserve">The client agrees to provide all necessary data access, workspace, and logistical support required for the Mathematician to perform the services described in this document.</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confirms that the scope, rates, and terms outlined above for the Mathematician services in</w:t>
      </w:r>
      <w:r>
        <w:t xml:space="preserve"> </w:t>
      </w:r>
      <w:r>
        <w:t xml:space="preserve">Indonesia Jakarta</w:t>
      </w:r>
      <w:r>
        <w:t xml:space="preserve"> </w:t>
      </w:r>
      <w:r>
        <w:t xml:space="preserve">are acceptable. This signature does not yet constitute a binding contract but serves as a formal expression of intent to proceed to the Service Agreement stage.</w:t>
      </w:r>
    </w:p>
    <w:p>
      <w:pPr>
        <w:pStyle w:val="BodyText"/>
      </w:pPr>
      <w:r>
        <w:rPr>
          <w:bCs/>
          <w:b/>
        </w:rPr>
        <w:t xml:space="preserve">For and on behalf of PT. Numerika Solusi Indonesia</w:t>
      </w:r>
    </w:p>
    <w:p>
      <w:pPr>
        <w:pStyle w:val="BodyText"/>
      </w:pPr>
      <w:r>
        <w:t xml:space="preserve">Dr. Ratna Wijaya</w:t>
      </w:r>
      <w:r>
        <w:br/>
      </w:r>
      <w:r>
        <w:t xml:space="preserve">Senior Mathematician &amp; Project Lead</w:t>
      </w:r>
      <w:r>
        <w:br/>
      </w:r>
      <w:r>
        <w:t xml:space="preserve">Date: _______________</w:t>
      </w:r>
    </w:p>
    <w:p>
      <w:pPr>
        <w:pStyle w:val="BodyText"/>
      </w:pPr>
      <w:r>
        <w:rPr>
          <w:bCs/>
          <w:b/>
        </w:rPr>
        <w:t xml:space="preserve">For and on behalf of PT. Artha Teknologi Nusantara</w:t>
      </w:r>
    </w:p>
    <w:p>
      <w:pPr>
        <w:pStyle w:val="BodyText"/>
      </w:pPr>
      <w:r>
        <w:t xml:space="preserve">Mr. Budi Santoso</w:t>
      </w:r>
      <w:r>
        <w:br/>
      </w:r>
      <w:r>
        <w:t xml:space="preserve">Head of Research &amp; Development</w:t>
      </w:r>
      <w:r>
        <w:br/>
      </w:r>
      <w:r>
        <w:t xml:space="preserve">Date: _______________</w:t>
      </w:r>
    </w:p>
    <w:p>
      <w:pPr>
        <w:pStyle w:val="BodyText"/>
      </w:pPr>
      <w:r>
        <w:rPr>
          <w:bCs/>
          <w:b/>
        </w:rPr>
        <w:t xml:space="preserve">Important Notice:</w:t>
      </w:r>
      <w:r>
        <w:t xml:space="preserve"> </w:t>
      </w:r>
      <w:r>
        <w:t xml:space="preserve">This Quotation Estimate document is prepared exclusively for the client named above and is not transferable. All monetary values are stated in Indonesian Rupiah (IDR) and are subject to the prevailing tax regulations applicable in Indonesia Jakarta. For any clarification or amendment to this Quotation Estimate, please contact our office at +62-21-5790-4455 or quotation@numerikasolusi.co.id. This document is generated electronically and is valid without a physical stamp or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Indonesia Jakarta</dc:title>
  <dc:creator/>
  <dc:language>en</dc:language>
  <cp:keywords/>
  <dcterms:created xsi:type="dcterms:W3CDTF">2026-10-10T02:23:27Z</dcterms:created>
  <dcterms:modified xsi:type="dcterms:W3CDTF">2026-10-10T02:23:27Z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