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apex-mathematical-consulting-group"/>
    <w:p>
      <w:pPr>
        <w:pStyle w:val="Heading1"/>
      </w:pPr>
      <w:r>
        <w:t xml:space="preserve">Apex Mathematical Consulting Group</w:t>
      </w:r>
    </w:p>
    <w:p>
      <w:pPr>
        <w:pStyle w:val="FirstParagraph"/>
      </w:pPr>
      <w:r>
        <w:t xml:space="preserve">Office: 142 Vali-e-Asr Street, 11th Floor, Tehran, Iran</w:t>
      </w:r>
    </w:p>
    <w:p>
      <w:pPr>
        <w:pStyle w:val="BodyText"/>
      </w:pPr>
      <w:r>
        <w:t xml:space="preserve">Phone: +98-21-8876-5432 | Email: quotes@apexmath-iran.com</w:t>
      </w:r>
    </w:p>
    <w:p>
      <w:pPr>
        <w:pStyle w:val="BodyText"/>
      </w:pPr>
      <w:r>
        <w:t xml:space="preserve">Registration No. 104582 | Tax ID: 0045821763</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QE-2025-TEH-0347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 of Service:</w:t>
      </w:r>
      <w:r>
        <w:t xml:space="preserve"> </w:t>
      </w:r>
      <w:r>
        <w:t xml:space="preserve">Iran Tehran</w:t>
      </w:r>
    </w:p>
    <w:p>
      <w:pPr>
        <w:pStyle w:val="BodyText"/>
      </w:pPr>
      <w:r>
        <w:rPr>
          <w:bCs/>
          <w:b/>
        </w:rPr>
        <w:t xml:space="preserve">Currency:</w:t>
      </w:r>
      <w:r>
        <w:t xml:space="preserve"> </w:t>
      </w:r>
      <w:r>
        <w:t xml:space="preserve">Iranian Rial (IRR) / USD</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Organization Name]</w:t>
      </w:r>
    </w:p>
    <w:p>
      <w:pPr>
        <w:pStyle w:val="BodyText"/>
      </w:pPr>
      <w:r>
        <w:rPr>
          <w:bCs/>
          <w:b/>
        </w:rPr>
        <w:t xml:space="preserve">Address:</w:t>
      </w:r>
      <w:r>
        <w:t xml:space="preserve"> </w:t>
      </w:r>
      <w:r>
        <w:t xml:space="preserve">[Street, District], Tehran, Iran</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+98-21-XXXX-XXXX</w:t>
      </w:r>
    </w:p>
    <w:bookmarkEnd w:id="22"/>
    <w:p>
      <w:pPr>
        <w:pStyle w:val="BodyText"/>
      </w:pPr>
      <w:r>
        <w:t xml:space="preserve">Dear Valued Client,</w:t>
      </w:r>
    </w:p>
    <w:p>
      <w:pPr>
        <w:pStyle w:val="BodyText"/>
      </w:pPr>
      <w:r>
        <w:t xml:space="preserve">Thank you for your inquiry regarding the engagement of a</w:t>
      </w:r>
      <w:r>
        <w:t xml:space="preserve"> </w:t>
      </w:r>
      <w:r>
        <w:t xml:space="preserve">Mathematician</w:t>
      </w:r>
      <w:r>
        <w:t xml:space="preserve"> </w:t>
      </w:r>
      <w:r>
        <w:t xml:space="preserve">for your project based in</w:t>
      </w:r>
      <w:r>
        <w:t xml:space="preserve"> </w:t>
      </w:r>
      <w:r>
        <w:t xml:space="preserve">Iran Tehran</w:t>
      </w:r>
      <w:r>
        <w:t xml:space="preserve">. This</w:t>
      </w:r>
      <w:r>
        <w:t xml:space="preserve"> </w:t>
      </w:r>
      <w:r>
        <w:t xml:space="preserve">Quotation Estimate</w:t>
      </w:r>
      <w:r>
        <w:t xml:space="preserve"> </w:t>
      </w:r>
      <w:r>
        <w:t xml:space="preserve">has been prepared to provide you with a comprehensive and transparent breakdown of all costs associated with the professional mathematical consulting services we offer. Our team of qualified</w:t>
      </w:r>
      <w:r>
        <w:t xml:space="preserve"> </w:t>
      </w:r>
      <w:r>
        <w:t xml:space="preserve">Mathematician</w:t>
      </w:r>
      <w:r>
        <w:t xml:space="preserve"> </w:t>
      </w:r>
      <w:r>
        <w:t xml:space="preserve">professionals is dedicated to delivering rigorous analytical solutions tailored to the specific needs of organizations operating within the</w:t>
      </w:r>
      <w:r>
        <w:t xml:space="preserve"> </w:t>
      </w:r>
      <w:r>
        <w:t xml:space="preserve">Iran Tehran</w:t>
      </w:r>
      <w:r>
        <w:t xml:space="preserve"> </w:t>
      </w:r>
      <w:r>
        <w:t xml:space="preserve">metropolitan area and its surrounding regions.</w:t>
      </w:r>
    </w:p>
    <w:p>
      <w:pPr>
        <w:pStyle w:val="BodyText"/>
      </w:pPr>
      <w:r>
        <w:t xml:space="preserve">Scope of Services – Mathematician Engagement</w:t>
      </w:r>
    </w:p>
    <w:p>
      <w:pPr>
        <w:pStyle w:val="BodyText"/>
      </w:pPr>
      <w:r>
        <w:t xml:space="preserve">The following</w:t>
      </w:r>
      <w:r>
        <w:t xml:space="preserve"> </w:t>
      </w:r>
      <w:r>
        <w:t xml:space="preserve">Quotation Estimate</w:t>
      </w:r>
      <w:r>
        <w:t xml:space="preserve"> </w:t>
      </w:r>
      <w:r>
        <w:t xml:space="preserve">covers the full engagement of a senior</w:t>
      </w:r>
      <w:r>
        <w:t xml:space="preserve"> </w:t>
      </w:r>
      <w:r>
        <w:t xml:space="preserve">Mathematician</w:t>
      </w:r>
      <w:r>
        <w:t xml:space="preserve"> </w:t>
      </w:r>
      <w:r>
        <w:t xml:space="preserve">to perform advanced quantitative analysis, model development, and technical problem-solving for your organization. All services will be rendered at our primary office in</w:t>
      </w:r>
      <w:r>
        <w:t xml:space="preserve"> </w:t>
      </w:r>
      <w:r>
        <w:t xml:space="preserve">Iran Tehran</w:t>
      </w:r>
      <w:r>
        <w:t xml:space="preserve"> </w:t>
      </w:r>
      <w:r>
        <w:t xml:space="preserve">or at your designated site within the Tehran metropolitan area, as agreed upon in the final service contract.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(IRR)</w:t>
            </w:r>
          </w:p>
        </w:tc>
        <w:tc>
          <w:tcPr/>
          <w:p>
            <w:pPr>
              <w:pStyle w:val="Compact"/>
              <w:jc w:val="left"/>
            </w:pPr>
            <w:r>
              <w:t xml:space="preserve">Unit Rate (USD)</w:t>
            </w:r>
          </w:p>
        </w:tc>
        <w:tc>
          <w:tcPr/>
          <w:p>
            <w:pPr>
              <w:pStyle w:val="Compact"/>
              <w:jc w:val="left"/>
            </w:pPr>
            <w:r>
              <w:t xml:space="preserve">Total (IRR)</w:t>
            </w:r>
          </w:p>
        </w:tc>
      </w:tr>
      <w:tr>
        <w:tc>
          <w:tcPr/>
          <w:p>
            <w:pPr>
              <w:pStyle w:val="Compact"/>
              <w:jc w:val="left"/>
            </w:pPr>
            <w:r>
              <w:t xml:space="preserve">1</w:t>
            </w:r>
          </w:p>
        </w:tc>
        <w:tc>
          <w:tcPr/>
          <w:p>
            <w:pPr>
              <w:pStyle w:val="Compact"/>
              <w:jc w:val="left"/>
            </w:pPr>
            <w:r>
              <w:t xml:space="preserve">Senior Mathematician – Advanced Statistical Modeling &amp; Data Analysis (on-site in Iran Tehran)</w:t>
            </w:r>
          </w:p>
        </w:tc>
        <w:tc>
          <w:tcPr/>
          <w:p>
            <w:pPr>
              <w:pStyle w:val="Compact"/>
              <w:jc w:val="left"/>
            </w:pPr>
            <w:r>
              <w:t xml:space="preserve">120 hours</w:t>
            </w:r>
          </w:p>
        </w:tc>
        <w:tc>
          <w:tcPr/>
          <w:p>
            <w:pPr>
              <w:pStyle w:val="Compact"/>
              <w:jc w:val="left"/>
            </w:pPr>
            <w:r>
              <w:t xml:space="preserve">850,000</w:t>
            </w:r>
          </w:p>
        </w:tc>
        <w:tc>
          <w:tcPr/>
          <w:p>
            <w:pPr>
              <w:pStyle w:val="Compact"/>
              <w:jc w:val="left"/>
            </w:pPr>
            <w:r>
              <w:t xml:space="preserve">$20.00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Mathematician – Optimization &amp; Operations Research Consulting</w:t>
            </w:r>
          </w:p>
        </w:tc>
        <w:tc>
          <w:tcPr/>
          <w:p>
            <w:pPr>
              <w:pStyle w:val="Compact"/>
              <w:jc w:val="left"/>
            </w:pPr>
            <w:r>
              <w:t xml:space="preserve">80 hours</w:t>
            </w:r>
          </w:p>
        </w:tc>
        <w:tc>
          <w:tcPr/>
          <w:p>
            <w:pPr>
              <w:pStyle w:val="Compact"/>
              <w:jc w:val="left"/>
            </w:pPr>
            <w:r>
              <w:t xml:space="preserve">950,000</w:t>
            </w:r>
          </w:p>
        </w:tc>
        <w:tc>
          <w:tcPr/>
          <w:p>
            <w:pPr>
              <w:pStyle w:val="Compact"/>
              <w:jc w:val="left"/>
            </w:pPr>
            <w:r>
              <w:t xml:space="preserve">$22.50</w:t>
            </w:r>
          </w:p>
        </w:tc>
        <w:tc>
          <w:tcPr/>
          <w:p>
            <w:pPr>
              <w:pStyle w:val="Compact"/>
              <w:jc w:val="left"/>
            </w:pPr>
            <w:r>
              <w:t xml:space="preserve">76,000,000</w:t>
            </w:r>
          </w:p>
        </w:tc>
      </w:tr>
      <w:tr>
        <w:tc>
          <w:tcPr/>
          <w:p>
            <w:pPr>
              <w:pStyle w:val="Compact"/>
              <w:jc w:val="left"/>
            </w:pPr>
            <w:r>
              <w:t xml:space="preserve">3</w:t>
            </w:r>
          </w:p>
        </w:tc>
        <w:tc>
          <w:tcPr/>
          <w:p>
            <w:pPr>
              <w:pStyle w:val="Compact"/>
              <w:jc w:val="left"/>
            </w:pPr>
            <w:r>
              <w:t xml:space="preserve">Mathematician – Numerical Simulation &amp; Computational Mathematics</w:t>
            </w:r>
          </w:p>
        </w:tc>
        <w:tc>
          <w:tcPr/>
          <w:p>
            <w:pPr>
              <w:pStyle w:val="Compact"/>
              <w:jc w:val="left"/>
            </w:pPr>
            <w:r>
              <w:t xml:space="preserve">60 hours</w:t>
            </w:r>
          </w:p>
        </w:tc>
        <w:tc>
          <w:tcPr/>
          <w:p>
            <w:pPr>
              <w:pStyle w:val="Compact"/>
              <w:jc w:val="left"/>
            </w:pPr>
            <w:r>
              <w:t xml:space="preserve">1,100,000</w:t>
            </w:r>
          </w:p>
        </w:tc>
        <w:tc>
          <w:tcPr/>
          <w:p>
            <w:pPr>
              <w:pStyle w:val="Compact"/>
              <w:jc w:val="left"/>
            </w:pPr>
            <w:r>
              <w:t xml:space="preserve">$26.00</w:t>
            </w:r>
          </w:p>
        </w:tc>
        <w:tc>
          <w:tcPr/>
          <w:p>
            <w:pPr>
              <w:pStyle w:val="Compact"/>
              <w:jc w:val="left"/>
            </w:pPr>
            <w:r>
              <w:t xml:space="preserve">66,000,000</w:t>
            </w:r>
          </w:p>
        </w:tc>
      </w:tr>
      <w:tr>
        <w:tc>
          <w:tcPr/>
          <w:p>
            <w:pPr>
              <w:pStyle w:val="Compact"/>
              <w:jc w:val="left"/>
            </w:pPr>
            <w:r>
              <w:t xml:space="preserve">4</w:t>
            </w:r>
          </w:p>
        </w:tc>
        <w:tc>
          <w:tcPr/>
          <w:p>
            <w:pPr>
              <w:pStyle w:val="Compact"/>
              <w:jc w:val="left"/>
            </w:pPr>
            <w:r>
              <w:t xml:space="preserve">Mathematician – Technical Report Writing &amp; Documentation</w:t>
            </w:r>
          </w:p>
        </w:tc>
        <w:tc>
          <w:tcPr/>
          <w:p>
            <w:pPr>
              <w:pStyle w:val="Compact"/>
              <w:jc w:val="left"/>
            </w:pPr>
            <w:r>
              <w:t xml:space="preserve">40 hours</w:t>
            </w:r>
          </w:p>
        </w:tc>
        <w:tc>
          <w:tcPr/>
          <w:p>
            <w:pPr>
              <w:pStyle w:val="Compact"/>
              <w:jc w:val="left"/>
            </w:pPr>
            <w:r>
              <w:t xml:space="preserve">700,000</w:t>
            </w:r>
          </w:p>
        </w:tc>
        <w:tc>
          <w:tcPr/>
          <w:p>
            <w:pPr>
              <w:pStyle w:val="Compact"/>
              <w:jc w:val="left"/>
            </w:pPr>
            <w:r>
              <w:t xml:space="preserve">$16.50</w:t>
            </w:r>
          </w:p>
        </w:tc>
        <w:tc>
          <w:tcPr/>
          <w:p>
            <w:pPr>
              <w:pStyle w:val="Compact"/>
              <w:jc w:val="left"/>
            </w:pPr>
            <w:r>
              <w:t xml:space="preserve">28,000,000</w:t>
            </w:r>
          </w:p>
        </w:tc>
      </w:tr>
      <w:tr>
        <w:tc>
          <w:tcPr/>
          <w:p>
            <w:pPr>
              <w:pStyle w:val="Compact"/>
              <w:jc w:val="left"/>
            </w:pPr>
            <w:r>
              <w:t xml:space="preserve">5</w:t>
            </w:r>
          </w:p>
        </w:tc>
        <w:tc>
          <w:tcPr/>
          <w:p>
            <w:pPr>
              <w:pStyle w:val="Compact"/>
              <w:jc w:val="left"/>
            </w:pPr>
            <w:r>
              <w:t xml:space="preserve">Travel &amp; Local Transportation within Iran Tehran (per diem)</w:t>
            </w:r>
          </w:p>
        </w:tc>
        <w:tc>
          <w:tcPr/>
          <w:p>
            <w:pPr>
              <w:pStyle w:val="Compact"/>
              <w:jc w:val="left"/>
            </w:pPr>
            <w:r>
              <w:t xml:space="preserve">30 days</w:t>
            </w:r>
          </w:p>
        </w:tc>
        <w:tc>
          <w:tcPr/>
          <w:p>
            <w:pPr>
              <w:pStyle w:val="Compact"/>
              <w:jc w:val="left"/>
            </w:pPr>
            <w:r>
              <w:t xml:space="preserve">450,000</w:t>
            </w:r>
          </w:p>
        </w:tc>
        <w:tc>
          <w:tcPr/>
          <w:p>
            <w:pPr>
              <w:pStyle w:val="Compact"/>
              <w:jc w:val="left"/>
            </w:pPr>
            <w:r>
              <w:t xml:space="preserve">$10.70</w:t>
            </w:r>
          </w:p>
        </w:tc>
        <w:tc>
          <w:tcPr/>
          <w:p>
            <w:pPr>
              <w:pStyle w:val="Compact"/>
              <w:jc w:val="left"/>
            </w:pPr>
            <w:r>
              <w:t xml:space="preserve">13,500,000</w:t>
            </w:r>
          </w:p>
        </w:tc>
      </w:tr>
      <w:tr>
        <w:tc>
          <w:tcPr/>
          <w:p>
            <w:pPr>
              <w:pStyle w:val="Compact"/>
              <w:jc w:val="left"/>
            </w:pPr>
            <w:r>
              <w:t xml:space="preserve">6</w:t>
            </w:r>
          </w:p>
        </w:tc>
        <w:tc>
          <w:tcPr/>
          <w:p>
            <w:pPr>
              <w:pStyle w:val="Compact"/>
              <w:jc w:val="left"/>
            </w:pPr>
            <w:r>
              <w:t xml:space="preserve">Software Licensing &amp; Computational Tool Access (MATLAB, R, Python stack)</w:t>
            </w:r>
          </w:p>
        </w:tc>
        <w:tc>
          <w:tcPr/>
          <w:p>
            <w:pPr>
              <w:pStyle w:val="Compact"/>
              <w:jc w:val="left"/>
            </w:pPr>
            <w:r>
              <w:t xml:space="preserve">3 months</w:t>
            </w:r>
          </w:p>
        </w:tc>
        <w:tc>
          <w:tcPr/>
          <w:p>
            <w:pPr>
              <w:pStyle w:val="Compact"/>
              <w:jc w:val="left"/>
            </w:pPr>
            <w:r>
              <w:t xml:space="preserve">2,500,000</w:t>
            </w:r>
          </w:p>
        </w:tc>
        <w:tc>
          <w:tcPr/>
          <w:p>
            <w:pPr>
              <w:pStyle w:val="Compact"/>
              <w:jc w:val="left"/>
            </w:pPr>
            <w:r>
              <w:t xml:space="preserve">$59.50</w:t>
            </w:r>
          </w:p>
        </w:tc>
        <w:tc>
          <w:tcPr/>
          <w:p>
            <w:pPr>
              <w:pStyle w:val="Compact"/>
              <w:jc w:val="left"/>
            </w:pPr>
            <w:r>
              <w:t xml:space="preserve">7,500,000</w:t>
            </w:r>
          </w:p>
        </w:tc>
      </w:tr>
      <w:tr>
        <w:tc>
          <w:tcPr>
            <w:gridSpan w:val="5"/>
          </w:tcPr>
          <w:p>
            <w:pPr>
              <w:pStyle w:val="Compact"/>
              <w:jc w:val="right"/>
            </w:pPr>
            <w:r>
              <w:t xml:space="preserve">Grand Total (before tax):</w:t>
            </w:r>
          </w:p>
        </w:tc>
        <w:tc>
          <w:tcPr/>
          <w:p>
            <w:pPr>
              <w:pStyle w:val="Compact"/>
              <w:jc w:val="left"/>
            </w:pPr>
            <w:r>
              <w:t xml:space="preserve">293,000,000 IRR</w:t>
            </w:r>
          </w:p>
        </w:tc>
      </w:tr>
      <w:tr>
        <w:tc>
          <w:tcPr>
            <w:gridSpan w:val="5"/>
          </w:tcPr>
          <w:p>
            <w:pPr>
              <w:pStyle w:val="Compact"/>
              <w:jc w:val="right"/>
            </w:pPr>
            <w:r>
              <w:t xml:space="preserve">VAT (9% – applicable in Iran Tehran):</w:t>
            </w:r>
          </w:p>
        </w:tc>
        <w:tc>
          <w:tcPr/>
          <w:p>
            <w:pPr>
              <w:pStyle w:val="Compact"/>
              <w:jc w:val="left"/>
            </w:pPr>
            <w:r>
              <w:t xml:space="preserve">26,370,000 IRR</w:t>
            </w:r>
          </w:p>
        </w:tc>
      </w:tr>
      <w:tr>
        <w:tc>
          <w:tcPr>
            <w:gridSpan w:val="5"/>
          </w:tcPr>
          <w:p>
            <w:pPr>
              <w:pStyle w:val="Compact"/>
              <w:jc w:val="right"/>
            </w:pPr>
            <w:r>
              <w:t xml:space="preserve">Final Quotation Estimate Total:</w:t>
            </w:r>
          </w:p>
        </w:tc>
        <w:tc>
          <w:tcPr/>
          <w:p>
            <w:pPr>
              <w:pStyle w:val="Compact"/>
              <w:jc w:val="left"/>
            </w:pPr>
            <w:r>
              <w:t xml:space="preserve">319,370,000 IRR</w:t>
            </w:r>
          </w:p>
        </w:tc>
      </w:tr>
    </w:tbl>
    <w:p>
      <w:pPr>
        <w:pStyle w:val="BodyText"/>
      </w:pPr>
      <w:r>
        <w:t xml:space="preserve">Professional Qualifications of the Mathematician</w:t>
      </w:r>
    </w:p>
    <w:p>
      <w:pPr>
        <w:pStyle w:val="BodyText"/>
      </w:pPr>
      <w:r>
        <w:t xml:space="preserve">The</w:t>
      </w:r>
      <w:r>
        <w:t xml:space="preserve"> </w:t>
      </w:r>
      <w:r>
        <w:t xml:space="preserve">Mathematician</w:t>
      </w:r>
      <w:r>
        <w:t xml:space="preserve"> </w:t>
      </w:r>
      <w:r>
        <w:t xml:space="preserve">assigned to this engagement holds a Ph.D. in Applied Mathematics from a recognized university in</w:t>
      </w:r>
      <w:r>
        <w:t xml:space="preserve"> </w:t>
      </w:r>
      <w:r>
        <w:t xml:space="preserve">Iran Tehran</w:t>
      </w:r>
      <w:r>
        <w:t xml:space="preserve">, with a minimum of twelve (12) years of professional experience in quantitative research, industrial optimization, and computational modeling. The</w:t>
      </w:r>
      <w:r>
        <w:t xml:space="preserve"> </w:t>
      </w:r>
      <w:r>
        <w:t xml:space="preserve">Mathematician</w:t>
      </w:r>
      <w:r>
        <w:t xml:space="preserve"> </w:t>
      </w:r>
      <w:r>
        <w:t xml:space="preserve">is fluent in both Persian and English, ensuring seamless communication with your team throughout the project lifecycle. All deliverables will be produced in accordance with international mathematical publishing standards and local regulatory requirements applicable in</w:t>
      </w:r>
      <w:r>
        <w:t xml:space="preserve"> </w:t>
      </w:r>
      <w:r>
        <w:t xml:space="preserve">Iran Tehran</w:t>
      </w:r>
      <w:r>
        <w:t xml:space="preserve">.</w:t>
      </w:r>
    </w:p>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rates may be subject to revision due to market fluctuations in</w:t>
      </w:r>
      <w:r>
        <w:t xml:space="preserve"> </w:t>
      </w:r>
      <w:r>
        <w:t xml:space="preserve">Iran Tehran</w:t>
      </w:r>
      <w:r>
        <w:t xml:space="preserve">.</w:t>
      </w:r>
    </w:p>
    <w:p>
      <w:pPr>
        <w:numPr>
          <w:ilvl w:val="0"/>
          <w:numId w:val="1001"/>
        </w:numPr>
        <w:pStyle w:val="Compact"/>
      </w:pPr>
      <w:r>
        <w:t xml:space="preserve">Payment terms: 40% advance upon contract signing, 40% upon completion of the mid-project milestone, and 20% upon final delivery and acceptance of all deliverables by the client.</w:t>
      </w:r>
    </w:p>
    <w:p>
      <w:pPr>
        <w:numPr>
          <w:ilvl w:val="0"/>
          <w:numId w:val="1001"/>
        </w:numPr>
        <w:pStyle w:val="Compact"/>
      </w:pPr>
      <w:r>
        <w:t xml:space="preserve">All services will be performed by the designated</w:t>
      </w:r>
      <w:r>
        <w:t xml:space="preserve"> </w:t>
      </w:r>
      <w:r>
        <w:t xml:space="preserve">Mathematician</w:t>
      </w:r>
      <w:r>
        <w:t xml:space="preserve"> </w:t>
      </w:r>
      <w:r>
        <w:t xml:space="preserve">or, in the event of unavoidable absence, by a substitute of equivalent or superior qualification, subject to prior written approval by the client.</w:t>
      </w:r>
    </w:p>
    <w:p>
      <w:pPr>
        <w:numPr>
          <w:ilvl w:val="0"/>
          <w:numId w:val="1001"/>
        </w:numPr>
        <w:pStyle w:val="Compact"/>
      </w:pPr>
      <w:r>
        <w:t xml:space="preserve">Intellectual property rights for all mathematical models, algorithms, and reports developed under this engagement shall vest in the client upon full payment, as stipulated in the master service agreement.</w:t>
      </w:r>
    </w:p>
    <w:p>
      <w:pPr>
        <w:numPr>
          <w:ilvl w:val="0"/>
          <w:numId w:val="1001"/>
        </w:numPr>
        <w:pStyle w:val="Compact"/>
      </w:pPr>
      <w:r>
        <w:t xml:space="preserve">Confidentiality: The</w:t>
      </w:r>
      <w:r>
        <w:t xml:space="preserve"> </w:t>
      </w:r>
      <w:r>
        <w:t xml:space="preserve">Mathematician</w:t>
      </w:r>
      <w:r>
        <w:t xml:space="preserve"> </w:t>
      </w:r>
      <w:r>
        <w:t xml:space="preserve">and Apex Mathematical Consulting Group shall maintain strict confidentiality of all client data, proprietary information, and project details in accordance with Iranian commercial law and the mutual NDA executed in</w:t>
      </w:r>
      <w:r>
        <w:t xml:space="preserve"> </w:t>
      </w:r>
      <w:r>
        <w:t xml:space="preserve">Iran Tehran</w:t>
      </w:r>
      <w:r>
        <w:t xml:space="preserve">.</w:t>
      </w:r>
    </w:p>
    <w:p>
      <w:pPr>
        <w:numPr>
          <w:ilvl w:val="0"/>
          <w:numId w:val="1001"/>
        </w:numPr>
        <w:pStyle w:val="Compact"/>
      </w:pPr>
      <w:r>
        <w:t xml:space="preserve">Force Majeure: Neither party shall be liable for delays caused by events beyond reasonable control, including but not limited to natural disasters, government-mandated closures in</w:t>
      </w:r>
      <w:r>
        <w:t xml:space="preserve"> </w:t>
      </w:r>
      <w:r>
        <w:t xml:space="preserve">Iran Tehran</w:t>
      </w:r>
      <w:r>
        <w:t xml:space="preserve">, or international sanctions affecting operational continuity.</w:t>
      </w:r>
    </w:p>
    <w:p>
      <w:pPr>
        <w:numPr>
          <w:ilvl w:val="0"/>
          <w:numId w:val="1001"/>
        </w:numPr>
        <w:pStyle w:val="Compact"/>
      </w:pPr>
      <w:r>
        <w:t xml:space="preserve">Dispute resolution shall be governed by the civil and commercial laws of the Islamic Republic of Iran, with jurisdiction vested in the competent courts of</w:t>
      </w:r>
      <w:r>
        <w:t xml:space="preserve"> </w:t>
      </w:r>
      <w:r>
        <w:t xml:space="preserve">Iran Tehran</w:t>
      </w:r>
      <w:r>
        <w:t xml:space="preserv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converted into a definitive service agreement.</w:t>
      </w:r>
    </w:p>
    <w:p>
      <w:pPr>
        <w:pStyle w:val="FirstParagraph"/>
      </w:pPr>
      <w:r>
        <w:t xml:space="preserve">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w:t>
      </w:r>
      <w:r>
        <w:t xml:space="preserve"> </w:t>
      </w:r>
      <w:r>
        <w:t xml:space="preserve">Mathematician</w:t>
      </w:r>
      <w:r>
        <w:t xml:space="preserve"> </w:t>
      </w:r>
      <w:r>
        <w:t xml:space="preserve">in</w:t>
      </w:r>
      <w:r>
        <w:t xml:space="preserve"> </w:t>
      </w:r>
      <w:r>
        <w:t xml:space="preserve">Iran Tehran</w:t>
      </w:r>
      <w:r>
        <w:t xml:space="preserve">.</w:t>
      </w:r>
    </w:p>
    <w:p>
      <w:pPr>
        <w:pStyle w:val="BodyText"/>
      </w:pPr>
      <w:r>
        <w:rPr>
          <w:bCs/>
          <w:b/>
        </w:rPr>
        <w:t xml:space="preserve">For Apex Mathematical Consulting Group</w:t>
      </w:r>
    </w:p>
    <w:p>
      <w:pPr>
        <w:pStyle w:val="BodyText"/>
      </w:pPr>
      <w:r>
        <w:t xml:space="preserve">Name: Dr. Reza Karimi</w:t>
      </w:r>
    </w:p>
    <w:p>
      <w:pPr>
        <w:pStyle w:val="BodyText"/>
      </w:pPr>
      <w:r>
        <w:t xml:space="preserve">Title: Director of Mathematical Services</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Client</w:t>
      </w:r>
    </w:p>
    <w:p>
      <w:pPr>
        <w:pStyle w:val="BodyText"/>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Apex Mathematical Consulting Group | 142 Vali-e-Asr Street, Tehran, Iran | +98-21-8876-5432</w:t>
      </w:r>
    </w:p>
    <w:p>
      <w:pPr>
        <w:pStyle w:val="BodyText"/>
      </w:pPr>
      <w:r>
        <w:t xml:space="preserve">Quotation Estimate No. QE-2025-TEH-0347 | Page 1 of 1</w:t>
      </w:r>
    </w:p>
    <w:p>
      <w:pPr>
        <w:pStyle w:val="BodyText"/>
      </w:pPr>
      <w:r>
        <w:t xml:space="preserve">This document is issued exclusively for the client named above and is not transferable.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Iran Tehran</dc:title>
  <dc:creator/>
  <dc:language>en</dc:language>
  <cp:keywords/>
  <dcterms:created xsi:type="dcterms:W3CDTF">2026-10-10T02:25:36Z</dcterms:created>
  <dcterms:modified xsi:type="dcterms:W3CDTF">2026-10-10T02:25:36Z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