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Mathematician Services for Iraq Baghdad</w:t>
      </w:r>
    </w:p>
    <w:p>
      <w:pPr>
        <w:pStyle w:val="BodyText"/>
      </w:pPr>
      <w:r>
        <w:t xml:space="preserve">Ref: QTE-IRQ-BGD-2025-0472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Ahmad Al-Rashid, Senior Mathematician &amp; Consultant</w:t>
            </w:r>
          </w:p>
        </w:tc>
      </w:tr>
      <w:tr>
        <w:tc>
          <w:tcPr/>
          <w:p>
            <w:pPr>
              <w:pStyle w:val="Compact"/>
              <w:jc w:val="left"/>
            </w:pPr>
            <w:r>
              <w:t xml:space="preserve">Company:</w:t>
            </w:r>
          </w:p>
        </w:tc>
        <w:tc>
          <w:tcPr/>
          <w:p>
            <w:pPr>
              <w:pStyle w:val="Compact"/>
              <w:jc w:val="left"/>
            </w:pPr>
            <w:r>
              <w:t xml:space="preserve">Al-Mustansiriya Applied Mathematics Consulting, Baghdad, Iraq</w:t>
            </w:r>
          </w:p>
        </w:tc>
      </w:tr>
      <w:tr>
        <w:tc>
          <w:tcPr/>
          <w:p>
            <w:pPr>
              <w:pStyle w:val="Compact"/>
              <w:jc w:val="left"/>
            </w:pPr>
            <w:r>
              <w:t xml:space="preserve">Address:</w:t>
            </w:r>
          </w:p>
        </w:tc>
        <w:tc>
          <w:tcPr/>
          <w:p>
            <w:pPr>
              <w:pStyle w:val="Compact"/>
              <w:jc w:val="left"/>
            </w:pPr>
            <w:r>
              <w:t xml:space="preserve">14 Al-Mansour Street, Al-Mansour District, Baghdad, Iraq</w:t>
            </w:r>
          </w:p>
        </w:tc>
      </w:tr>
      <w:tr>
        <w:tc>
          <w:tcPr/>
          <w:p>
            <w:pPr>
              <w:pStyle w:val="Compact"/>
              <w:jc w:val="left"/>
            </w:pPr>
            <w:r>
              <w:t xml:space="preserve">Client:</w:t>
            </w:r>
          </w:p>
        </w:tc>
        <w:tc>
          <w:tcPr/>
          <w:p>
            <w:pPr>
              <w:pStyle w:val="Compact"/>
              <w:jc w:val="left"/>
            </w:pPr>
            <w:r>
              <w:t xml:space="preserve">Ministry of Higher Education and Scientific Research, Baghdad, Iraq</w:t>
            </w:r>
          </w:p>
        </w:tc>
      </w:tr>
      <w:tr>
        <w:tc>
          <w:tcPr/>
          <w:p>
            <w:pPr>
              <w:pStyle w:val="Compact"/>
              <w:jc w:val="left"/>
            </w:pPr>
            <w:r>
              <w:t xml:space="preserve">Project Title:</w:t>
            </w:r>
          </w:p>
        </w:tc>
        <w:tc>
          <w:tcPr/>
          <w:p>
            <w:pPr>
              <w:pStyle w:val="Compact"/>
              <w:jc w:val="left"/>
            </w:pPr>
            <w:r>
              <w:t xml:space="preserve">Advanced Mathematical Modelling and Statistical Analysis for Infrastructure Planning in Iraq Baghdad</w:t>
            </w:r>
          </w:p>
        </w:tc>
      </w:tr>
      <w:tr>
        <w:tc>
          <w:tcPr/>
          <w:p>
            <w:pPr>
              <w:pStyle w:val="Compact"/>
              <w:jc w:val="left"/>
            </w:pPr>
            <w:r>
              <w:t xml:space="preserve">Validity Period:</w:t>
            </w:r>
          </w:p>
        </w:tc>
        <w:tc>
          <w:tcPr/>
          <w:p>
            <w:pPr>
              <w:pStyle w:val="Compact"/>
              <w:jc w:val="left"/>
            </w:pPr>
            <w:r>
              <w:t xml:space="preserve">60 days from the date of issue (until 14 August 2025)</w:t>
            </w:r>
          </w:p>
        </w:tc>
      </w:tr>
      <w:tr>
        <w:tc>
          <w:tcPr/>
          <w:p>
            <w:pPr>
              <w:pStyle w:val="Compact"/>
              <w:jc w:val="left"/>
            </w:pPr>
            <w:r>
              <w:t xml:space="preserve">Currency:</w:t>
            </w:r>
          </w:p>
        </w:tc>
        <w:tc>
          <w:tcPr/>
          <w:p>
            <w:pPr>
              <w:pStyle w:val="Compact"/>
              <w:jc w:val="left"/>
            </w:pPr>
            <w:r>
              <w:t xml:space="preserve">US Dollars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fees, expenses, and deliverables associated with the engagement of a qualified</w:t>
      </w:r>
      <w:r>
        <w:t xml:space="preserve"> </w:t>
      </w:r>
      <w:r>
        <w:t xml:space="preserve">Mathematician</w:t>
      </w:r>
      <w:r>
        <w:t xml:space="preserve"> </w:t>
      </w:r>
      <w:r>
        <w:t xml:space="preserve">to support the Ministry of Higher Education and Scientific Research in the execution of advanced mathematical modelling, statistical analysis, and quantitative research tasks within the city of</w:t>
      </w:r>
      <w:r>
        <w:t xml:space="preserve"> </w:t>
      </w:r>
      <w:r>
        <w:t xml:space="preserve">Iraq Baghdad</w:t>
      </w:r>
      <w:r>
        <w:t xml:space="preserve">. This document serves as the primary financial reference for the client's procurement and budgeting processes and outlines all terms under which the Mathematician's services will be rendered.</w:t>
      </w:r>
    </w:p>
    <w:bookmarkEnd w:id="21"/>
    <w:bookmarkStart w:id="22" w:name="scope-of-work"/>
    <w:p>
      <w:pPr>
        <w:pStyle w:val="Heading2"/>
      </w:pPr>
      <w:r>
        <w:t xml:space="preserve">2. Scope of Work</w:t>
      </w:r>
    </w:p>
    <w:p>
      <w:pPr>
        <w:pStyle w:val="FirstParagraph"/>
      </w:pPr>
      <w:r>
        <w:t xml:space="preserve">The Mathematician engaged under this Quotation Estimate shall perform the following duties and deliverables specifically tailored to the operational and research needs of Iraq Baghdad:</w:t>
      </w:r>
    </w:p>
    <w:p>
      <w:pPr>
        <w:numPr>
          <w:ilvl w:val="0"/>
          <w:numId w:val="1001"/>
        </w:numPr>
        <w:pStyle w:val="Compact"/>
      </w:pPr>
      <w:r>
        <w:t xml:space="preserve">Development of advanced mathematical models for urban infrastructure planning, including traffic flow simulation, water distribution network optimisation, and energy consumption forecasting for the Baghdad metropolitan area.</w:t>
      </w:r>
    </w:p>
    <w:p>
      <w:pPr>
        <w:numPr>
          <w:ilvl w:val="0"/>
          <w:numId w:val="1001"/>
        </w:numPr>
        <w:pStyle w:val="Compact"/>
      </w:pPr>
      <w:r>
        <w:t xml:space="preserve">Conduct of rigorous statistical analysis on datasets provided by the client, encompassing regression modelling, Bayesian inference, and multivariate hypothesis testing relevant to public policy decisions in Iraq Baghdad.</w:t>
      </w:r>
    </w:p>
    <w:p>
      <w:pPr>
        <w:numPr>
          <w:ilvl w:val="0"/>
          <w:numId w:val="1001"/>
        </w:numPr>
        <w:pStyle w:val="Compact"/>
      </w:pPr>
      <w:r>
        <w:t xml:space="preserve">Design and implementation of numerical algorithms for solving partial differential equations governing structural engineering problems in major construction projects across Baghdad.</w:t>
      </w:r>
    </w:p>
    <w:p>
      <w:pPr>
        <w:numPr>
          <w:ilvl w:val="0"/>
          <w:numId w:val="1001"/>
        </w:numPr>
        <w:pStyle w:val="Compact"/>
      </w:pPr>
      <w:r>
        <w:t xml:space="preserve">Preparation of a minimum of four (4) peer-reviewed-quality technical reports documenting the mathematical methodology, assumptions, and findings for each phase of the project.</w:t>
      </w:r>
    </w:p>
    <w:p>
      <w:pPr>
        <w:numPr>
          <w:ilvl w:val="0"/>
          <w:numId w:val="1001"/>
        </w:numPr>
        <w:pStyle w:val="Compact"/>
      </w:pPr>
      <w:r>
        <w:t xml:space="preserve">Delivery of two (2) on-site workshops per month at the client's designated facility in Iraq Baghdad, training a team of no more than fifteen (15) government analysts in applied mathematics and computational techniques.</w:t>
      </w:r>
    </w:p>
    <w:p>
      <w:pPr>
        <w:numPr>
          <w:ilvl w:val="0"/>
          <w:numId w:val="1001"/>
        </w:numPr>
        <w:pStyle w:val="Compact"/>
      </w:pPr>
      <w:r>
        <w:t xml:space="preserve">Provision of ongoing advisory support via email and scheduled video conferences for a period of twelve (12) months following the completion of the primary modelling phase.</w:t>
      </w:r>
    </w:p>
    <w:p>
      <w:pPr>
        <w:numPr>
          <w:ilvl w:val="0"/>
          <w:numId w:val="1001"/>
        </w:numPr>
        <w:pStyle w:val="Compact"/>
      </w:pPr>
      <w:r>
        <w:t xml:space="preserve">Review and validation of existing mathematical frameworks previously developed by other contractors operating in Iraq Baghdad, ensuring methodological consistency and accuracy.</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Mathematician – Full-time consulting (modelling, analysis, algorithm design)</w:t>
            </w:r>
          </w:p>
        </w:tc>
        <w:tc>
          <w:tcPr/>
          <w:p>
            <w:pPr>
              <w:pStyle w:val="Compact"/>
              <w:jc w:val="left"/>
            </w:pPr>
            <w:r>
              <w:t xml:space="preserve">12 months</w:t>
            </w:r>
          </w:p>
        </w:tc>
        <w:tc>
          <w:tcPr/>
          <w:p>
            <w:pPr>
              <w:pStyle w:val="Compact"/>
              <w:jc w:val="left"/>
            </w:pPr>
            <w:r>
              <w:t xml:space="preserve">$6,500 / month</w:t>
            </w:r>
          </w:p>
        </w:tc>
        <w:tc>
          <w:tcPr/>
          <w:p>
            <w:pPr>
              <w:pStyle w:val="Compact"/>
              <w:jc w:val="left"/>
            </w:pPr>
            <w:r>
              <w:t xml:space="preserve">$78,000</w:t>
            </w:r>
          </w:p>
        </w:tc>
        <w:tc>
          <w:tcPr/>
          <w:p>
            <w:pPr>
              <w:pStyle w:val="Compact"/>
              <w:jc w:val="left"/>
            </w:pPr>
            <w:r>
              <w:t xml:space="preserve">Jan – Dec 2025</w:t>
            </w:r>
          </w:p>
        </w:tc>
      </w:tr>
      <w:tr>
        <w:tc>
          <w:tcPr/>
          <w:p>
            <w:pPr>
              <w:pStyle w:val="Compact"/>
              <w:jc w:val="left"/>
            </w:pPr>
            <w:r>
              <w:t xml:space="preserve">2</w:t>
            </w:r>
          </w:p>
        </w:tc>
        <w:tc>
          <w:tcPr/>
          <w:p>
            <w:pPr>
              <w:pStyle w:val="Compact"/>
              <w:jc w:val="left"/>
            </w:pPr>
            <w:r>
              <w:t xml:space="preserve">On-site workshop delivery in Iraq Baghdad (per session, up to 15 participants)</w:t>
            </w:r>
          </w:p>
        </w:tc>
        <w:tc>
          <w:tcPr/>
          <w:p>
            <w:pPr>
              <w:pStyle w:val="Compact"/>
              <w:jc w:val="left"/>
            </w:pPr>
            <w:r>
              <w:t xml:space="preserve">24 sessions</w:t>
            </w:r>
          </w:p>
        </w:tc>
        <w:tc>
          <w:tcPr/>
          <w:p>
            <w:pPr>
              <w:pStyle w:val="Compact"/>
              <w:jc w:val="left"/>
            </w:pPr>
            <w:r>
              <w:t xml:space="preserve">$450 / session</w:t>
            </w:r>
          </w:p>
        </w:tc>
        <w:tc>
          <w:tcPr/>
          <w:p>
            <w:pPr>
              <w:pStyle w:val="Compact"/>
              <w:jc w:val="left"/>
            </w:pPr>
            <w:r>
              <w:t xml:space="preserve">$10,800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Technical report preparation and peer-review quality assurance</w:t>
            </w:r>
          </w:p>
        </w:tc>
        <w:tc>
          <w:tcPr/>
          <w:p>
            <w:pPr>
              <w:pStyle w:val="Compact"/>
              <w:jc w:val="left"/>
            </w:pPr>
            <w:r>
              <w:t xml:space="preserve">4 reports</w:t>
            </w:r>
          </w:p>
        </w:tc>
        <w:tc>
          <w:tcPr/>
          <w:p>
            <w:pPr>
              <w:pStyle w:val="Compact"/>
              <w:jc w:val="left"/>
            </w:pPr>
            <w:r>
              <w:t xml:space="preserve">$1,200 / report</w:t>
            </w:r>
          </w:p>
        </w:tc>
        <w:tc>
          <w:tcPr/>
          <w:p>
            <w:pPr>
              <w:pStyle w:val="Compact"/>
              <w:jc w:val="left"/>
            </w:pPr>
            <w:r>
              <w:t xml:space="preserve">$4,800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Software licensing and computational resources (MATLAB, Python scientific stack, HPC access)</w:t>
            </w:r>
          </w:p>
        </w:tc>
        <w:tc>
          <w:tcPr/>
          <w:p>
            <w:pPr>
              <w:pStyle w:val="Compact"/>
              <w:jc w:val="left"/>
            </w:pPr>
            <w:r>
              <w:t xml:space="preserve">12 months</w:t>
            </w:r>
          </w:p>
        </w:tc>
        <w:tc>
          <w:tcPr/>
          <w:p>
            <w:pPr>
              <w:pStyle w:val="Compact"/>
              <w:jc w:val="left"/>
            </w:pPr>
            <w:r>
              <w:t xml:space="preserve">$350 / month</w:t>
            </w:r>
          </w:p>
        </w:tc>
        <w:tc>
          <w:tcPr/>
          <w:p>
            <w:pPr>
              <w:pStyle w:val="Compact"/>
              <w:jc w:val="left"/>
            </w:pPr>
            <w:r>
              <w:t xml:space="preserve">$4,200</w:t>
            </w:r>
          </w:p>
        </w:tc>
        <w:tc>
          <w:tcPr/>
          <w:p>
            <w:pPr>
              <w:pStyle w:val="Compact"/>
              <w:jc w:val="left"/>
            </w:pPr>
            <w:r>
              <w:t xml:space="preserve">Jan – Dec 2025</w:t>
            </w:r>
          </w:p>
        </w:tc>
      </w:tr>
      <w:tr>
        <w:tc>
          <w:tcPr/>
          <w:p>
            <w:pPr>
              <w:pStyle w:val="Compact"/>
              <w:jc w:val="left"/>
            </w:pPr>
            <w:r>
              <w:t xml:space="preserve">5</w:t>
            </w:r>
          </w:p>
        </w:tc>
        <w:tc>
          <w:tcPr/>
          <w:p>
            <w:pPr>
              <w:pStyle w:val="Compact"/>
              <w:jc w:val="left"/>
            </w:pPr>
            <w:r>
              <w:t xml:space="preserve">Travel and local transportation within Iraq Baghdad (office visits, site inspections)</w:t>
            </w:r>
          </w:p>
        </w:tc>
        <w:tc>
          <w:tcPr/>
          <w:p>
            <w:pPr>
              <w:pStyle w:val="Compact"/>
              <w:jc w:val="left"/>
            </w:pPr>
            <w:r>
              <w:t xml:space="preserve">12 months</w:t>
            </w:r>
          </w:p>
        </w:tc>
        <w:tc>
          <w:tcPr/>
          <w:p>
            <w:pPr>
              <w:pStyle w:val="Compact"/>
              <w:jc w:val="left"/>
            </w:pPr>
            <w:r>
              <w:t xml:space="preserve">$200 / month</w:t>
            </w:r>
          </w:p>
        </w:tc>
        <w:tc>
          <w:tcPr/>
          <w:p>
            <w:pPr>
              <w:pStyle w:val="Compact"/>
              <w:jc w:val="left"/>
            </w:pPr>
            <w:r>
              <w:t xml:space="preserve">$2,400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Post-completion advisory support (email, video calls, document review)</w:t>
            </w:r>
          </w:p>
        </w:tc>
        <w:tc>
          <w:tcPr/>
          <w:p>
            <w:pPr>
              <w:pStyle w:val="Compact"/>
              <w:jc w:val="left"/>
            </w:pPr>
            <w:r>
              <w:t xml:space="preserve">12 months</w:t>
            </w:r>
          </w:p>
        </w:tc>
        <w:tc>
          <w:tcPr/>
          <w:p>
            <w:pPr>
              <w:pStyle w:val="Compact"/>
              <w:jc w:val="left"/>
            </w:pPr>
            <w:r>
              <w:t xml:space="preserve">$300 / month</w:t>
            </w:r>
          </w:p>
        </w:tc>
        <w:tc>
          <w:tcPr/>
          <w:p>
            <w:pPr>
              <w:pStyle w:val="Compact"/>
              <w:jc w:val="left"/>
            </w:pPr>
            <w:r>
              <w:t xml:space="preserve">$3,600</w:t>
            </w:r>
          </w:p>
        </w:tc>
        <w:tc>
          <w:tcPr/>
          <w:p>
            <w:pPr>
              <w:pStyle w:val="Compact"/>
              <w:jc w:val="left"/>
            </w:pPr>
            <w:r>
              <w:t xml:space="preserve">Jan – Dec 2026</w:t>
            </w:r>
          </w:p>
        </w:tc>
      </w:tr>
      <w:tr>
        <w:tc>
          <w:tcPr/>
          <w:p>
            <w:pPr>
              <w:pStyle w:val="Compact"/>
              <w:jc w:val="left"/>
            </w:pPr>
            <w:r>
              <w:t xml:space="preserve">7</w:t>
            </w:r>
          </w:p>
        </w:tc>
        <w:tc>
          <w:tcPr/>
          <w:p>
            <w:pPr>
              <w:pStyle w:val="Compact"/>
              <w:jc w:val="left"/>
            </w:pPr>
            <w:r>
              <w:t xml:space="preserve">Contingency and miscellaneous expenses (printing, binding, data storage)</w:t>
            </w:r>
          </w:p>
        </w:tc>
        <w:tc>
          <w:tcPr/>
          <w:p>
            <w:pPr>
              <w:pStyle w:val="Compact"/>
              <w:jc w:val="left"/>
            </w:pPr>
            <w:r>
              <w:t xml:space="preserve">Flat</w:t>
            </w:r>
          </w:p>
        </w:tc>
        <w:tc>
          <w:tcPr/>
          <w:p>
            <w:pPr>
              <w:pStyle w:val="Compact"/>
              <w:jc w:val="left"/>
            </w:pPr>
            <w:r>
              <w:t xml:space="preserve">—</w:t>
            </w:r>
          </w:p>
        </w:tc>
        <w:tc>
          <w:tcPr/>
          <w:p>
            <w:pPr>
              <w:pStyle w:val="Compact"/>
              <w:jc w:val="left"/>
            </w:pPr>
            <w:r>
              <w:t xml:space="preserve">$2,500</w:t>
            </w:r>
          </w:p>
        </w:tc>
        <w:tc>
          <w:tcPr/>
          <w:p>
            <w:pPr>
              <w:pStyle w:val="Compact"/>
              <w:jc w:val="left"/>
            </w:pPr>
            <w:r>
              <w:t xml:space="preserve">As incurred</w:t>
            </w:r>
          </w:p>
        </w:tc>
      </w:tr>
      <w:tr>
        <w:tc>
          <w:tcPr>
            <w:gridSpan w:val="4"/>
          </w:tcPr>
          <w:p>
            <w:pPr>
              <w:pStyle w:val="Compact"/>
              <w:jc w:val="right"/>
            </w:pPr>
            <w:r>
              <w:t xml:space="preserve">TOTAL ESTIMATED COST (USD)</w:t>
            </w:r>
          </w:p>
        </w:tc>
        <w:tc>
          <w:tcPr/>
          <w:p>
            <w:pPr>
              <w:pStyle w:val="Compact"/>
              <w:jc w:val="left"/>
            </w:pPr>
            <w:r>
              <w:t xml:space="preserve">$106,300</w:t>
            </w:r>
          </w:p>
        </w:tc>
        <w:tc>
          <w:tcPr/>
          <w:p>
            <w:pPr>
              <w:pStyle w:val="Compact"/>
              <w:jc w:val="left"/>
            </w:pPr>
            <w:r>
              <w:t xml:space="preserve">—</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schedule, subject to the client's standard procurement procedures in Iraq Baghdad:</w:t>
      </w:r>
    </w:p>
    <w:p>
      <w:pPr>
        <w:numPr>
          <w:ilvl w:val="0"/>
          <w:numId w:val="1002"/>
        </w:numPr>
        <w:pStyle w:val="Compact"/>
      </w:pPr>
      <w:r>
        <w:rPr>
          <w:bCs/>
          <w:b/>
        </w:rPr>
        <w:t xml:space="preserve">30% Advance Payment:</w:t>
      </w:r>
      <w:r>
        <w:t xml:space="preserve"> </w:t>
      </w:r>
      <w:r>
        <w:t xml:space="preserve">$31,890 – due within fifteen (15) business days of contract signature.</w:t>
      </w:r>
    </w:p>
    <w:p>
      <w:pPr>
        <w:numPr>
          <w:ilvl w:val="0"/>
          <w:numId w:val="1002"/>
        </w:numPr>
        <w:pStyle w:val="Compact"/>
      </w:pPr>
      <w:r>
        <w:rPr>
          <w:bCs/>
          <w:b/>
        </w:rPr>
        <w:t xml:space="preserve">40% Progress Payment:</w:t>
      </w:r>
      <w:r>
        <w:t xml:space="preserve"> </w:t>
      </w:r>
      <w:r>
        <w:t xml:space="preserve">$42,520 – due upon delivery and acceptance of the second technical report (end of Month 6).</w:t>
      </w:r>
    </w:p>
    <w:p>
      <w:pPr>
        <w:numPr>
          <w:ilvl w:val="0"/>
          <w:numId w:val="1002"/>
        </w:numPr>
        <w:pStyle w:val="Compact"/>
      </w:pPr>
      <w:r>
        <w:rPr>
          <w:bCs/>
          <w:b/>
        </w:rPr>
        <w:t xml:space="preserve">30% Final Payment:</w:t>
      </w:r>
      <w:r>
        <w:t xml:space="preserve"> </w:t>
      </w:r>
      <w:r>
        <w:t xml:space="preserve">$31,890 – due upon completion of all deliverables and submission of the final project report.</w:t>
      </w:r>
    </w:p>
    <w:p>
      <w:pPr>
        <w:pStyle w:val="FirstParagraph"/>
      </w:pPr>
      <w:r>
        <w:t xml:space="preserve">All payments shall be made via bank transfer to the account designated by the Mathematician's consulting entity. Late payments shall accrue interest at a rate of 1.5% per month, calculated from the due date.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sixty (60) calendar days from the date of issue. Beyond this period, all rates and terms are subject to revision without prior notice.</w:t>
      </w:r>
    </w:p>
    <w:p>
      <w:pPr>
        <w:pStyle w:val="BodyText"/>
      </w:pPr>
      <w:r>
        <w:rPr>
          <w:bCs/>
          <w:b/>
        </w:rPr>
        <w:t xml:space="preserve">5.2</w:t>
      </w:r>
      <w:r>
        <w:t xml:space="preserve"> </w:t>
      </w:r>
      <w:r>
        <w:t xml:space="preserve">The Mathematician reserves the right to decline or modify the scope of work if the client's requirements deviate materially from those described in Section 2. Any such modification shall be documented in a written amendment to this Quotation Estimate.</w:t>
      </w:r>
    </w:p>
    <w:p>
      <w:pPr>
        <w:pStyle w:val="BodyText"/>
      </w:pPr>
      <w:r>
        <w:rPr>
          <w:bCs/>
          <w:b/>
        </w:rPr>
        <w:t xml:space="preserve">5.3</w:t>
      </w:r>
      <w:r>
        <w:t xml:space="preserve"> </w:t>
      </w:r>
      <w:r>
        <w:t xml:space="preserve">All intellectual property, including but not limited to mathematical models, algorithms, code, and reports produced under this engagement, shall become the sole property of the client upon full payment. The Mathematician retains the right to reference the work in academic publications with prior written consent from the client.</w:t>
      </w:r>
    </w:p>
    <w:p>
      <w:pPr>
        <w:pStyle w:val="BodyText"/>
      </w:pPr>
      <w:r>
        <w:rPr>
          <w:bCs/>
          <w:b/>
        </w:rPr>
        <w:t xml:space="preserve">5.4</w:t>
      </w:r>
      <w:r>
        <w:t xml:space="preserve"> </w:t>
      </w:r>
      <w:r>
        <w:t xml:space="preserve">The Mathematician shall comply with all applicable laws and regulations of the Republic of Iraq, including data protection and confidentiality statutes governing the use of government data in Iraq Baghdad.</w:t>
      </w:r>
    </w:p>
    <w:p>
      <w:pPr>
        <w:pStyle w:val="BodyText"/>
      </w:pPr>
      <w:r>
        <w:rPr>
          <w:bCs/>
          <w:b/>
        </w:rPr>
        <w:t xml:space="preserve">5.5</w:t>
      </w:r>
      <w:r>
        <w:t xml:space="preserve"> </w:t>
      </w:r>
      <w:r>
        <w:t xml:space="preserve">In the event of force majeure (including but not limited to political instability, natural disasters, or public health emergencies affecting Iraq Baghdad), either party may suspend obligations without penalty, provided written notice is given within seven (7) days of the event.</w:t>
      </w:r>
    </w:p>
    <w:p>
      <w:pPr>
        <w:pStyle w:val="BodyText"/>
      </w:pPr>
      <w:r>
        <w:rPr>
          <w:bCs/>
          <w:b/>
        </w:rPr>
        <w:t xml:space="preserve">5.6</w:t>
      </w:r>
      <w:r>
        <w:t xml:space="preserve"> </w:t>
      </w:r>
      <w:r>
        <w:t xml:space="preserve">Disputes arising from this Quotation Estimate shall be resolved through amicable negotiation. Should negotiation fail, the matter shall be referred to arbitration under the rules of the Baghdad Chamber of Commerce.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set forth in this Quotation Estimate for the engagement of the Mathematician in Iraq Baghdad. This document, once countersigned, constitutes a binding agreement between the parties.</w:t>
      </w:r>
    </w:p>
    <w:p>
      <w:pPr>
        <w:pStyle w:val="BodyText"/>
      </w:pPr>
      <w:r>
        <w:rPr>
          <w:bCs/>
          <w:b/>
        </w:rPr>
        <w:t xml:space="preserve">For the Mathematician / Consultant</w:t>
      </w:r>
      <w:r>
        <w:br/>
      </w:r>
      <w:r>
        <w:t xml:space="preserve">Dr. Ahmad Al-Rashid</w:t>
      </w:r>
      <w:r>
        <w:br/>
      </w:r>
      <w:r>
        <w:t xml:space="preserve">Al-Mustansiriya Applied Mathematics Consulting</w:t>
      </w:r>
      <w:r>
        <w:br/>
      </w:r>
      <w:r>
        <w:t xml:space="preserve">Date: _______________</w:t>
      </w:r>
    </w:p>
    <w:p>
      <w:pPr>
        <w:pStyle w:val="BodyText"/>
      </w:pPr>
      <w:r>
        <w:rPr>
          <w:bCs/>
          <w:b/>
        </w:rPr>
        <w:t xml:space="preserve">For the Client</w:t>
      </w:r>
      <w:r>
        <w:br/>
      </w:r>
      <w:r>
        <w:t xml:space="preserve">Ministry of Higher Education and Scientific Research</w:t>
      </w:r>
      <w:r>
        <w:br/>
      </w:r>
      <w:r>
        <w:t xml:space="preserve">Baghdad, Iraq</w:t>
      </w:r>
      <w:r>
        <w:br/>
      </w:r>
      <w:r>
        <w:t xml:space="preserve">Date: _______________</w:t>
      </w:r>
    </w:p>
    <w:p>
      <w:pPr>
        <w:pStyle w:val="BodyText"/>
      </w:pPr>
      <w:r>
        <w:rPr>
          <w:bCs/>
          <w:b/>
        </w:rPr>
        <w:t xml:space="preserve">Important Note:</w:t>
      </w:r>
      <w:r>
        <w:t xml:space="preserve"> </w:t>
      </w:r>
      <w:r>
        <w:t xml:space="preserve">This Quotation Estimate is a non-binding preliminary document until formally countersigned by both parties. All figures are estimates based on current market rates in Iraq Baghdad and are subject to adjustment upon final contract negotiation. The Mathematician's professional qualifications, including a Ph.D. in Applied Mathematics from the University of Baghdad and over fifteen (15) years of experience in quantitative research, are available for verification upon request. This document is issued in duplicate, with one copy retained by each party.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Iraq Baghdad</dc:title>
  <dc:creator/>
  <dc:language>en</dc:language>
  <cp:keywords/>
  <dcterms:created xsi:type="dcterms:W3CDTF">2026-10-10T05:05:37Z</dcterms:created>
  <dcterms:modified xsi:type="dcterms:W3CDTF">2026-10-10T05:05:37Z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