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Mathematician Engagement Services — Israel Jerusalem</w:t>
      </w:r>
    </w:p>
    <w:p>
      <w:pPr>
        <w:pStyle w:val="BodyText"/>
      </w:pPr>
      <w:r>
        <w:t xml:space="preserve">Ref: QE-JER-2025-0472 | Issued in Israel Jerusalem</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QE-JER-2025-0472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Israeli New Shekel (ILS / –)</w:t>
            </w:r>
          </w:p>
        </w:tc>
      </w:tr>
      <w:tr>
        <w:tc>
          <w:tcPr/>
          <w:p>
            <w:pPr>
              <w:pStyle w:val="Compact"/>
              <w:jc w:val="left"/>
            </w:pPr>
            <w:r>
              <w:t xml:space="preserve">Service Location</w:t>
            </w:r>
          </w:p>
        </w:tc>
        <w:tc>
          <w:tcPr>
            <w:gridSpan w:val="3"/>
          </w:tcPr>
          <w:p>
            <w:pPr>
              <w:pStyle w:val="Compact"/>
              <w:jc w:val="left"/>
            </w:pPr>
            <w:r>
              <w:t xml:space="preserve">Israel Jerusalem, 31 HaYehudim Street, Jerusalem 9410101, State of Israel</w:t>
            </w:r>
          </w:p>
        </w:tc>
      </w:tr>
      <w:tr>
        <w:tc>
          <w:tcPr/>
          <w:p>
            <w:pPr>
              <w:pStyle w:val="Compact"/>
              <w:jc w:val="left"/>
            </w:pPr>
            <w:r>
              <w:t xml:space="preserve">Prepared By</w:t>
            </w:r>
          </w:p>
        </w:tc>
        <w:tc>
          <w:tcPr/>
          <w:p>
            <w:pPr>
              <w:pStyle w:val="Compact"/>
              <w:jc w:val="left"/>
            </w:pPr>
            <w:r>
              <w:t xml:space="preserve">Dr. Amos Ben-Zvi, Lead Mathematician</w:t>
            </w:r>
          </w:p>
        </w:tc>
        <w:tc>
          <w:tcPr/>
          <w:p>
            <w:pPr>
              <w:pStyle w:val="Compact"/>
              <w:jc w:val="left"/>
            </w:pPr>
            <w:r>
              <w:t xml:space="preserve">Client</w:t>
            </w:r>
          </w:p>
        </w:tc>
        <w:tc>
          <w:tcPr/>
          <w:p>
            <w:pPr>
              <w:pStyle w:val="Compact"/>
              <w:jc w:val="left"/>
            </w:pPr>
            <w:r>
              <w:t xml:space="preserve">Jerusalem Institute for Advanced Computational Research</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financial breakdown for the engagement of a senior</w:t>
      </w:r>
      <w:r>
        <w:t xml:space="preserve"> </w:t>
      </w:r>
      <w:r>
        <w:t xml:space="preserve">Mathematician</w:t>
      </w:r>
      <w:r>
        <w:t xml:space="preserve"> </w:t>
      </w:r>
      <w:r>
        <w:t xml:space="preserve">to deliver specialized analytical, modeling, and research services within the jurisdiction of</w:t>
      </w:r>
      <w:r>
        <w:t xml:space="preserve"> </w:t>
      </w:r>
      <w:r>
        <w:t xml:space="preserve">Israel Jerusalem</w:t>
      </w:r>
      <w:r>
        <w:t xml:space="preserve">. The scope of work outlined herein has been developed in direct consultation with the client's technical requirements and aligns with the professional standards established by the Israel Association of Mathematicians and the national regulatory framework governing professional services in the State of Israel.</w:t>
      </w:r>
    </w:p>
    <w:bookmarkEnd w:id="21"/>
    <w:bookmarkStart w:id="22" w:name="Xaf4d0d602a3272d04692e8eba4ecf3281db41a3"/>
    <w:p>
      <w:pPr>
        <w:pStyle w:val="Heading2"/>
      </w:pPr>
      <w:r>
        <w:t xml:space="preserve">2. Scope of Services — Mathematician Engagement</w:t>
      </w:r>
    </w:p>
    <w:p>
      <w:pPr>
        <w:pStyle w:val="FirstParagraph"/>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shall provide the following services at the designated premises in</w:t>
      </w:r>
      <w:r>
        <w:t xml:space="preserve"> </w:t>
      </w:r>
      <w:r>
        <w:t xml:space="preserve">Israel Jerusalem</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(ILS/hr)</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Advanced stochastic modeling and probabilistic analysis for financial risk assessment frameworks</w:t>
            </w:r>
          </w:p>
        </w:tc>
        <w:tc>
          <w:tcPr/>
          <w:p>
            <w:pPr>
              <w:pStyle w:val="Compact"/>
              <w:jc w:val="left"/>
            </w:pPr>
            <w:r>
              <w:t xml:space="preserve">120 hours</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Development of differential equation systems for urban infrastructure planning in Israel Jerusalem</w:t>
            </w:r>
          </w:p>
        </w:tc>
        <w:tc>
          <w:tcPr/>
          <w:p>
            <w:pPr>
              <w:pStyle w:val="Compact"/>
              <w:jc w:val="left"/>
            </w:pPr>
            <w:r>
              <w:t xml:space="preserve">80 hours</w:t>
            </w:r>
          </w:p>
        </w:tc>
        <w:tc>
          <w:tcPr/>
          <w:p>
            <w:pPr>
              <w:pStyle w:val="Compact"/>
              <w:jc w:val="left"/>
            </w:pPr>
            <w:r>
              <w:t xml:space="preserve">1,850</w:t>
            </w:r>
          </w:p>
        </w:tc>
        <w:tc>
          <w:tcPr/>
          <w:p>
            <w:pPr>
              <w:pStyle w:val="Compact"/>
              <w:jc w:val="left"/>
            </w:pPr>
            <w:r>
              <w:t xml:space="preserve">148,000</w:t>
            </w:r>
          </w:p>
        </w:tc>
      </w:tr>
      <w:tr>
        <w:tc>
          <w:tcPr/>
          <w:p>
            <w:pPr>
              <w:pStyle w:val="Compact"/>
              <w:jc w:val="left"/>
            </w:pPr>
            <w:r>
              <w:t xml:space="preserve">3</w:t>
            </w:r>
          </w:p>
        </w:tc>
        <w:tc>
          <w:tcPr/>
          <w:p>
            <w:pPr>
              <w:pStyle w:val="Compact"/>
              <w:jc w:val="left"/>
            </w:pPr>
            <w:r>
              <w:t xml:space="preserve">Peer review and mathematical validation of computational algorithms submitted by the client's engineering division</w:t>
            </w:r>
          </w:p>
        </w:tc>
        <w:tc>
          <w:tcPr/>
          <w:p>
            <w:pPr>
              <w:pStyle w:val="Compact"/>
              <w:jc w:val="left"/>
            </w:pPr>
            <w:r>
              <w:t xml:space="preserve">40 hours</w:t>
            </w:r>
          </w:p>
        </w:tc>
        <w:tc>
          <w:tcPr/>
          <w:p>
            <w:pPr>
              <w:pStyle w:val="Compact"/>
              <w:jc w:val="left"/>
            </w:pPr>
            <w:r>
              <w:t xml:space="preserve">2,100</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On-site consultation and mentoring sessions for junior analysts at the Israel Jerusalem research facility</w:t>
            </w:r>
          </w:p>
        </w:tc>
        <w:tc>
          <w:tcPr/>
          <w:p>
            <w:pPr>
              <w:pStyle w:val="Compact"/>
              <w:jc w:val="left"/>
            </w:pPr>
            <w:r>
              <w:t xml:space="preserve">30 hours</w:t>
            </w:r>
          </w:p>
        </w:tc>
        <w:tc>
          <w:tcPr/>
          <w:p>
            <w:pPr>
              <w:pStyle w:val="Compact"/>
              <w:jc w:val="left"/>
            </w:pPr>
            <w:r>
              <w:t xml:space="preserve">1,600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Preparation of a comprehensive mathematical feasibility report for the proposed national data-analytics initiative</w:t>
            </w:r>
          </w:p>
        </w:tc>
        <w:tc>
          <w:tcPr/>
          <w:p>
            <w:pPr>
              <w:pStyle w:val="Compact"/>
              <w:jc w:val="left"/>
            </w:pPr>
            <w:r>
              <w:t xml:space="preserve">60 hours</w:t>
            </w:r>
          </w:p>
        </w:tc>
        <w:tc>
          <w:tcPr/>
          <w:p>
            <w:pPr>
              <w:pStyle w:val="Compact"/>
              <w:jc w:val="left"/>
            </w:pPr>
            <w:r>
              <w:t xml:space="preserve">1,950</w:t>
            </w:r>
          </w:p>
        </w:tc>
        <w:tc>
          <w:tcPr/>
          <w:p>
            <w:pPr>
              <w:pStyle w:val="Compact"/>
              <w:jc w:val="left"/>
            </w:pPr>
            <w:r>
              <w:t xml:space="preserve">117,000</w:t>
            </w:r>
          </w:p>
        </w:tc>
      </w:tr>
      <w:tr>
        <w:tc>
          <w:tcPr/>
          <w:p>
            <w:pPr>
              <w:pStyle w:val="Compact"/>
              <w:jc w:val="left"/>
            </w:pPr>
            <w:r>
              <w:t xml:space="preserve">6</w:t>
            </w:r>
          </w:p>
        </w:tc>
        <w:tc>
          <w:tcPr/>
          <w:p>
            <w:pPr>
              <w:pStyle w:val="Compact"/>
              <w:jc w:val="left"/>
            </w:pPr>
            <w:r>
              <w:t xml:space="preserve">Travel, accommodation, and local transportation within Israel Jerusalem and surrounding districts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12,500</w:t>
            </w:r>
          </w:p>
        </w:tc>
      </w:tr>
      <w:tr>
        <w:tc>
          <w:tcPr>
            <w:gridSpan w:val="4"/>
          </w:tcPr>
          <w:p>
            <w:pPr>
              <w:pStyle w:val="Compact"/>
              <w:jc w:val="right"/>
            </w:pPr>
            <w:r>
              <w:t xml:space="preserve">TOTAL ESTIMATED COST (before VAT):</w:t>
            </w:r>
          </w:p>
        </w:tc>
        <w:tc>
          <w:tcPr/>
          <w:p>
            <w:pPr>
              <w:pStyle w:val="Compact"/>
              <w:jc w:val="left"/>
            </w:pPr>
            <w:r>
              <w:t xml:space="preserve">631,500 ILS</w:t>
            </w:r>
          </w:p>
        </w:tc>
      </w:tr>
      <w:tr>
        <w:tc>
          <w:tcPr>
            <w:gridSpan w:val="4"/>
          </w:tcPr>
          <w:p>
            <w:pPr>
              <w:pStyle w:val="Compact"/>
              <w:jc w:val="right"/>
            </w:pPr>
            <w:r>
              <w:t xml:space="preserve">VAT (18%):</w:t>
            </w:r>
          </w:p>
        </w:tc>
        <w:tc>
          <w:tcPr/>
          <w:p>
            <w:pPr>
              <w:pStyle w:val="Compact"/>
              <w:jc w:val="left"/>
            </w:pPr>
            <w:r>
              <w:t xml:space="preserve">113,670 ILS</w:t>
            </w:r>
          </w:p>
        </w:tc>
      </w:tr>
      <w:tr>
        <w:tc>
          <w:tcPr>
            <w:gridSpan w:val="4"/>
          </w:tcPr>
          <w:p>
            <w:pPr>
              <w:pStyle w:val="Compact"/>
              <w:jc w:val="right"/>
            </w:pPr>
            <w:r>
              <w:t xml:space="preserve">GRAND TOTAL (VAT inclusive):</w:t>
            </w:r>
          </w:p>
        </w:tc>
        <w:tc>
          <w:tcPr/>
          <w:p>
            <w:pPr>
              <w:pStyle w:val="Compact"/>
              <w:jc w:val="left"/>
            </w:pPr>
            <w:r>
              <w:t xml:space="preserve">745,170 ILS</w:t>
            </w:r>
          </w:p>
        </w:tc>
      </w:tr>
    </w:tbl>
    <w:bookmarkEnd w:id="22"/>
    <w:bookmarkStart w:id="23" w:name="qualifications-of-the-mathematician"/>
    <w:p>
      <w:pPr>
        <w:pStyle w:val="Heading2"/>
      </w:pPr>
      <w:r>
        <w:t xml:space="preserve">3. Qualifications of the Mathematician</w:t>
      </w:r>
    </w:p>
    <w:p>
      <w:pPr>
        <w:pStyle w:val="FirstParagraph"/>
      </w:pPr>
      <w:r>
        <w:t xml:space="preserve">The</w:t>
      </w:r>
      <w:r>
        <w:t xml:space="preserve"> </w:t>
      </w:r>
      <w:r>
        <w:t xml:space="preserve">Mathematician</w:t>
      </w:r>
      <w:r>
        <w:t xml:space="preserve"> </w:t>
      </w:r>
      <w:r>
        <w:t xml:space="preserve">proposed for this engagement holds a Ph.D. in Applied Mathematics from the Hebrew University of Jerusalem, with over fifteen years of professional experience in quantitative analysis, numerical methods, and mathematical optimization. The candidate is a registered member of the Israel Association of Mathematicians and has previously delivered comparable projects for governmental and academic institutions located throughout</w:t>
      </w:r>
      <w:r>
        <w:t xml:space="preserve"> </w:t>
      </w:r>
      <w:r>
        <w:t xml:space="preserve">Israel Jerusalem</w:t>
      </w:r>
      <w:r>
        <w:t xml:space="preserve"> </w:t>
      </w:r>
      <w:r>
        <w:t xml:space="preserve">and the broader central region of the State of Israel. All deliverables will be produced in accordance with the academic and professional standards expected within the Israeli research community.</w:t>
      </w:r>
    </w:p>
    <w:bookmarkEnd w:id="23"/>
    <w:bookmarkStart w:id="24" w:name="payment-terms-and-schedule"/>
    <w:p>
      <w:pPr>
        <w:pStyle w:val="Heading2"/>
      </w:pPr>
      <w:r>
        <w:t xml:space="preserve">4. Payment Terms and Schedule</w:t>
      </w:r>
    </w:p>
    <w:p>
      <w:pPr>
        <w:numPr>
          <w:ilvl w:val="0"/>
          <w:numId w:val="1001"/>
        </w:numPr>
        <w:pStyle w:val="Compact"/>
      </w:pPr>
      <w:r>
        <w:rPr>
          <w:bCs/>
          <w:b/>
        </w:rPr>
        <w:t xml:space="preserve">Advance Payment (30%):</w:t>
      </w:r>
      <w:r>
        <w:t xml:space="preserve"> </w:t>
      </w:r>
      <w:r>
        <w:t xml:space="preserve">ILS 223,551 — due within 10 business days of acceptance of this Quotation Estimate.</w:t>
      </w:r>
    </w:p>
    <w:p>
      <w:pPr>
        <w:numPr>
          <w:ilvl w:val="0"/>
          <w:numId w:val="1001"/>
        </w:numPr>
        <w:pStyle w:val="Compact"/>
      </w:pPr>
      <w:r>
        <w:rPr>
          <w:bCs/>
          <w:b/>
        </w:rPr>
        <w:t xml:space="preserve">Progress Payment (40%):</w:t>
      </w:r>
      <w:r>
        <w:t xml:space="preserve"> </w:t>
      </w:r>
      <w:r>
        <w:t xml:space="preserve">ILS 298,068 — due upon completion of the stochastic modeling and differential equation deliverables.</w:t>
      </w:r>
    </w:p>
    <w:p>
      <w:pPr>
        <w:numPr>
          <w:ilvl w:val="0"/>
          <w:numId w:val="1001"/>
        </w:numPr>
        <w:pStyle w:val="Compact"/>
      </w:pPr>
      <w:r>
        <w:rPr>
          <w:bCs/>
          <w:b/>
        </w:rPr>
        <w:t xml:space="preserve">Final Payment (30%):</w:t>
      </w:r>
      <w:r>
        <w:t xml:space="preserve"> </w:t>
      </w:r>
      <w:r>
        <w:t xml:space="preserve">ILS 223,551 — due upon delivery and client sign-off of the final feasibility report and all supporting documentation.</w:t>
      </w:r>
    </w:p>
    <w:p>
      <w:pPr>
        <w:numPr>
          <w:ilvl w:val="0"/>
          <w:numId w:val="1001"/>
        </w:numPr>
        <w:pStyle w:val="Compact"/>
      </w:pPr>
      <w:r>
        <w:t xml:space="preserve">All payments shall be made via bank transfer to the account designated by the service provider, in accordance with Israeli banking regulations and the Israel Tax Authority requirements.</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and availability of the</w:t>
      </w:r>
      <w:r>
        <w:t xml:space="preserve"> </w:t>
      </w:r>
      <w:r>
        <w:t xml:space="preserve">Mathematician</w:t>
      </w:r>
      <w:r>
        <w:t xml:space="preserve"> </w:t>
      </w:r>
      <w:r>
        <w:t xml:space="preserve">are subject to revision.</w:t>
      </w:r>
    </w:p>
    <w:p>
      <w:pPr>
        <w:numPr>
          <w:ilvl w:val="0"/>
          <w:numId w:val="1002"/>
        </w:numPr>
        <w:pStyle w:val="Compact"/>
      </w:pPr>
      <w:r>
        <w:t xml:space="preserve">All work performed under this engagement shall be conducted at the client's premises in</w:t>
      </w:r>
      <w:r>
        <w:t xml:space="preserve"> </w:t>
      </w:r>
      <w:r>
        <w:t xml:space="preserve">Israel Jerusalem</w:t>
      </w:r>
      <w:r>
        <w:t xml:space="preserve"> </w:t>
      </w:r>
      <w:r>
        <w:t xml:space="preserve">unless otherwise agreed in writing.</w:t>
      </w:r>
    </w:p>
    <w:p>
      <w:pPr>
        <w:numPr>
          <w:ilvl w:val="0"/>
          <w:numId w:val="1002"/>
        </w:numPr>
        <w:pStyle w:val="Compact"/>
      </w:pPr>
      <w:r>
        <w:t xml:space="preserve">The</w:t>
      </w:r>
      <w:r>
        <w:t xml:space="preserve"> </w:t>
      </w:r>
      <w:r>
        <w:t xml:space="preserve">Mathematician</w:t>
      </w:r>
      <w:r>
        <w:t xml:space="preserve"> </w:t>
      </w:r>
      <w:r>
        <w:t xml:space="preserve">shall maintain full confidentiality of all proprietary data, algorithms, and research materials accessed during the course of the engagement, in compliance with the Israeli Privacy Protection Law, 5741-1981.</w:t>
      </w:r>
    </w:p>
    <w:p>
      <w:pPr>
        <w:numPr>
          <w:ilvl w:val="0"/>
          <w:numId w:val="1002"/>
        </w:numPr>
        <w:pStyle w:val="Compact"/>
      </w:pPr>
      <w:r>
        <w:t xml:space="preserve">Any changes to the scope of work must be documented in a formal amendment to this Quotation Estimate and signed by both parties before additional work commences.</w:t>
      </w:r>
    </w:p>
    <w:p>
      <w:pPr>
        <w:numPr>
          <w:ilvl w:val="0"/>
          <w:numId w:val="1002"/>
        </w:numPr>
        <w:pStyle w:val="Compact"/>
      </w:pPr>
      <w:r>
        <w:t xml:space="preserve">Intellectual property generated specifically for the client under this contract shall transfer to the client upon full payment, subject to the Mathematician's right to publish general methodological findings.</w:t>
      </w:r>
    </w:p>
    <w:p>
      <w:pPr>
        <w:numPr>
          <w:ilvl w:val="0"/>
          <w:numId w:val="1002"/>
        </w:numPr>
        <w:pStyle w:val="Compact"/>
      </w:pPr>
      <w:r>
        <w:t xml:space="preserve">Disputes arising from this Quotation Estimate shall be resolved under the jurisdiction of the competent courts in Israel Jerusalem, in accordance with the laws of the State of Israel.</w:t>
      </w:r>
    </w:p>
    <w:p>
      <w:pPr>
        <w:numPr>
          <w:ilvl w:val="0"/>
          <w:numId w:val="1002"/>
        </w:numPr>
        <w:pStyle w:val="Compact"/>
      </w:pPr>
      <w:r>
        <w:t xml:space="preserve">The service provider reserves the right to substitute the named Mathematician with a professional of equivalent or superior qualifications, provided prior written notice is given to the client.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confirms understanding of all terms and conditions set forth herein, and authorizes the engagement of the</w:t>
      </w:r>
      <w:r>
        <w:t xml:space="preserve"> </w:t>
      </w:r>
      <w:r>
        <w:t xml:space="preserve">Mathematician</w:t>
      </w:r>
      <w:r>
        <w:t xml:space="preserve"> </w:t>
      </w:r>
      <w:r>
        <w:t xml:space="preserve">for the services described in this document to be performed in</w:t>
      </w:r>
      <w:r>
        <w:t xml:space="preserve"> </w:t>
      </w:r>
      <w:r>
        <w:t xml:space="preserve">Israel Jerusalem</w:t>
      </w:r>
      <w:r>
        <w:t xml:space="preserve">.</w:t>
      </w:r>
    </w:p>
    <w:p>
      <w:pPr>
        <w:pStyle w:val="BodyText"/>
      </w:pPr>
      <w:r>
        <w:rPr>
          <w:bCs/>
          <w:b/>
        </w:rPr>
        <w:t xml:space="preserve">For the Service Provider:</w:t>
      </w:r>
    </w:p>
    <w:p>
      <w:pPr>
        <w:pStyle w:val="BodyText"/>
      </w:pPr>
      <w:r>
        <w:t xml:space="preserve">Dr. Amos Ben-Zvi — Lead Mathematician</w:t>
      </w:r>
      <w:r>
        <w:br/>
      </w:r>
      <w:r>
        <w:t xml:space="preserve">Date: _______________</w:t>
      </w:r>
    </w:p>
    <w:p>
      <w:pPr>
        <w:pStyle w:val="BodyText"/>
      </w:pPr>
      <w:r>
        <w:rPr>
          <w:bCs/>
          <w:b/>
        </w:rPr>
        <w:t xml:space="preserve">For the Client:</w:t>
      </w:r>
    </w:p>
    <w:p>
      <w:pPr>
        <w:pStyle w:val="BodyText"/>
      </w:pPr>
      <w:r>
        <w:t xml:space="preserve">Authorized Representative, Jerusalem Institute for Advanced Computational Research</w:t>
      </w:r>
      <w:r>
        <w:br/>
      </w:r>
      <w:r>
        <w:t xml:space="preserve">Date: _______________</w:t>
      </w:r>
    </w:p>
    <w:p>
      <w:pPr>
        <w:pStyle w:val="BodyText"/>
      </w:pPr>
      <w:r>
        <w:t xml:space="preserve">Quotation Estimate QE-JER-2025-0472 | Mathematician Services | Israel Jerusalem | Page 1 of 1</w:t>
      </w:r>
    </w:p>
    <w:p>
      <w:pPr>
        <w:pStyle w:val="BodyText"/>
      </w:pPr>
      <w:r>
        <w:t xml:space="preserve">This document is issued in accordance with the professional standards of the State of Israel. All figures are denominated in Israeli New Shekels (ILS).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Israel Jerusalem</dc:title>
  <dc:creator/>
  <dc:language>en</dc:language>
  <cp:keywords/>
  <dcterms:created xsi:type="dcterms:W3CDTF">2026-10-10T01:52:00Z</dcterms:created>
  <dcterms:modified xsi:type="dcterms:W3CDTF">2026-10-10T01:52:00Z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