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quotation-estimate"/>
    <w:p>
      <w:pPr>
        <w:pStyle w:val="Heading1"/>
      </w:pPr>
      <w:r>
        <w:t xml:space="preserve">QUOTATION ESTIMATE</w:t>
      </w:r>
    </w:p>
    <w:p>
      <w:pPr>
        <w:pStyle w:val="FirstParagraph"/>
      </w:pPr>
      <w:r>
        <w:t xml:space="preserve">Professional Mathematician Consulting &amp; Analytical Services</w:t>
      </w:r>
    </w:p>
    <w:p>
      <w:pPr>
        <w:pStyle w:val="BodyText"/>
      </w:pPr>
      <w:r>
        <w:t xml:space="preserve">Israel Tel Aviv — Jaffa Road, 456, Tel Aviv-Yafo, 6100000, Israel</w:t>
      </w:r>
    </w:p>
    <w:p>
      <w:pPr>
        <w:pStyle w:val="BodyText"/>
      </w:pPr>
      <w:r>
        <w:t xml:space="preserve">Tel: +972-3-555-0142 | Email: estimates@mathconsult-il.co.il</w:t>
      </w:r>
    </w:p>
    <w:bookmarkEnd w:id="20"/>
    <w:p>
      <w:pPr>
        <w:pStyle w:val="BodyText"/>
      </w:pPr>
      <w:r>
        <w:rPr>
          <w:bCs/>
          <w:b/>
        </w:rPr>
        <w:t xml:space="preserve">Quotation Estimate No.:</w:t>
      </w:r>
      <w:r>
        <w:t xml:space="preserve"> </w:t>
      </w:r>
      <w:r>
        <w:t xml:space="preserve">QTE-2025-TLV-0847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For:</w:t>
      </w:r>
      <w:r>
        <w:br/>
      </w:r>
      <w:r>
        <w:t xml:space="preserve">Meridian Financial Analytics Ltd.</w:t>
      </w:r>
      <w:r>
        <w:br/>
      </w:r>
      <w:r>
        <w:t xml:space="preserve">12 Rothschild Boulevard</w:t>
      </w:r>
      <w:r>
        <w:br/>
      </w:r>
      <w:r>
        <w:t xml:space="preserve">Tel Aviv-Yafo, 6500101, Israel</w:t>
      </w:r>
      <w:r>
        <w:br/>
      </w:r>
      <w:r>
        <w:t xml:space="preserve">VAT No.: 51-802-334-77</w:t>
      </w:r>
    </w:p>
    <w:bookmarkStart w:id="21" w:name="Xc0d2c2dbf85e6b8478daa76d8bb781622c54197"/>
    <w:p>
      <w:pPr>
        <w:pStyle w:val="Heading2"/>
      </w:pPr>
      <w:r>
        <w:t xml:space="preserve">1. Scope of Services — Mathematician Engagement in Israel Tel Aviv</w:t>
      </w:r>
    </w:p>
    <w:p>
      <w:pPr>
        <w:pStyle w:val="FirstParagraph"/>
      </w:pPr>
      <w:r>
        <w:t xml:space="preserve">This</w:t>
      </w:r>
      <w:r>
        <w:t xml:space="preserve"> </w:t>
      </w:r>
      <w:r>
        <w:t xml:space="preserve">Quotation Estimate</w:t>
      </w:r>
      <w:r>
        <w:t xml:space="preserve"> </w:t>
      </w:r>
      <w:r>
        <w:t xml:space="preserve">is issued by our firm to formally outline the professional services to be rendered by a senior</w:t>
      </w:r>
      <w:r>
        <w:t xml:space="preserve"> </w:t>
      </w:r>
      <w:r>
        <w:t xml:space="preserve">Mathematician</w:t>
      </w:r>
      <w:r>
        <w:t xml:space="preserve"> </w:t>
      </w:r>
      <w:r>
        <w:t xml:space="preserve">engaged on behalf of the client within the metropolitan area of</w:t>
      </w:r>
      <w:r>
        <w:t xml:space="preserve"> </w:t>
      </w:r>
      <w:r>
        <w:t xml:space="preserve">Israel Tel Aviv</w:t>
      </w:r>
      <w:r>
        <w:t xml:space="preserve">. The Mathematician, holding a Ph.D. in Applied Mathematics from the Weizmann Institute of Science and possessing over fifteen years of experience in quantitative modeling, stochastic analysis, and computational optimization, will be deployed to support the client's ongoing research and development initiatives.</w:t>
      </w:r>
    </w:p>
    <w:p>
      <w:pPr>
        <w:pStyle w:val="BodyText"/>
      </w:pPr>
      <w:r>
        <w:t xml:space="preserve">The engagement is specifically tailored to the operational and regulatory environment of Israel Tel Aviv, where the client maintains its primary analytics division. All deliverables, on-site consultations, and collaborative workshops will be conducted at the client's premises located in the Tel Aviv-Yafo district, ensuring seamless integration with the local team and compliance with Israeli professional standards.</w:t>
      </w:r>
    </w:p>
    <w:bookmarkEnd w:id="21"/>
    <w:bookmarkStart w:id="22" w:name="Xdc3ff00606aca6472857d49f8866f68b279dd12"/>
    <w:p>
      <w:pPr>
        <w:pStyle w:val="Heading2"/>
      </w:pPr>
      <w:r>
        <w:t xml:space="preserve">2. Detailed Line Items — Quotation Estimate Breakdown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Mathematician Service</w:t>
            </w:r>
          </w:p>
        </w:tc>
        <w:tc>
          <w:tcPr/>
          <w:p>
            <w:pPr>
              <w:pStyle w:val="Compact"/>
              <w:jc w:val="left"/>
            </w:pPr>
            <w:r>
              <w:t xml:space="preserve">Duration / Qty</w:t>
            </w:r>
          </w:p>
        </w:tc>
        <w:tc>
          <w:tcPr/>
          <w:p>
            <w:pPr>
              <w:pStyle w:val="Compact"/>
              <w:jc w:val="left"/>
            </w:pPr>
            <w:r>
              <w:t xml:space="preserve">Unit Rate (ILS)</w:t>
            </w:r>
          </w:p>
        </w:tc>
        <w:tc>
          <w:tcPr/>
          <w:p>
            <w:pPr>
              <w:pStyle w:val="Compact"/>
              <w:jc w:val="left"/>
            </w:pPr>
            <w:r>
              <w:t xml:space="preserve">Subtotal (ILS)</w:t>
            </w:r>
          </w:p>
        </w:tc>
        <w:tc>
          <w:tcPr/>
          <w:p>
            <w:pPr>
              <w:pStyle w:val="Compact"/>
              <w:jc w:val="left"/>
            </w:pPr>
            <w:r>
              <w:t xml:space="preserve">VAT 18%</w:t>
            </w:r>
          </w:p>
        </w:tc>
        <w:tc>
          <w:tcPr/>
          <w:p>
            <w:pPr>
              <w:pStyle w:val="Compact"/>
            </w:pPr>
          </w:p>
        </w:tc>
      </w:tr>
      <w:tr>
        <w:tc>
          <w:tcPr/>
          <w:p>
            <w:pPr>
              <w:pStyle w:val="Compact"/>
              <w:jc w:val="left"/>
            </w:pPr>
            <w:r>
              <w:t xml:space="preserve">1</w:t>
            </w:r>
          </w:p>
        </w:tc>
        <w:tc>
          <w:tcPr/>
          <w:p>
            <w:pPr>
              <w:pStyle w:val="Compact"/>
              <w:jc w:val="left"/>
            </w:pPr>
            <w:r>
              <w:t xml:space="preserve">On-site Mathematician consultation for stochastic differential equation modeling — Israel Tel Aviv office</w:t>
            </w:r>
          </w:p>
        </w:tc>
        <w:tc>
          <w:tcPr/>
          <w:p>
            <w:pPr>
              <w:pStyle w:val="Compact"/>
              <w:jc w:val="left"/>
            </w:pPr>
            <w:r>
              <w:t xml:space="preserve">40 hours</w:t>
            </w:r>
          </w:p>
        </w:tc>
        <w:tc>
          <w:tcPr/>
          <w:p>
            <w:pPr>
              <w:pStyle w:val="Compact"/>
              <w:jc w:val="left"/>
            </w:pPr>
            <w:r>
              <w:t xml:space="preserve">1,850</w:t>
            </w:r>
          </w:p>
        </w:tc>
        <w:tc>
          <w:tcPr/>
          <w:p>
            <w:pPr>
              <w:pStyle w:val="Compact"/>
              <w:jc w:val="left"/>
            </w:pPr>
            <w:r>
              <w:t xml:space="preserve">74,000</w:t>
            </w:r>
          </w:p>
        </w:tc>
        <w:tc>
          <w:tcPr/>
          <w:p>
            <w:pPr>
              <w:pStyle w:val="Compact"/>
              <w:jc w:val="left"/>
            </w:pPr>
            <w:r>
              <w:t xml:space="preserve">13,320</w:t>
            </w:r>
          </w:p>
        </w:tc>
        <w:tc>
          <w:tcPr/>
          <w:p>
            <w:pPr>
              <w:pStyle w:val="Compact"/>
            </w:pPr>
          </w:p>
        </w:tc>
      </w:tr>
      <w:tr>
        <w:tc>
          <w:tcPr/>
          <w:p>
            <w:pPr>
              <w:pStyle w:val="Compact"/>
              <w:jc w:val="left"/>
            </w:pPr>
            <w:r>
              <w:t xml:space="preserve">2</w:t>
            </w:r>
          </w:p>
        </w:tc>
        <w:tc>
          <w:tcPr/>
          <w:p>
            <w:pPr>
              <w:pStyle w:val="Compact"/>
              <w:jc w:val="left"/>
            </w:pPr>
            <w:r>
              <w:t xml:space="preserve">Development of a proprietary numerical optimization algorithm for portfolio risk assessment</w:t>
            </w:r>
          </w:p>
        </w:tc>
        <w:tc>
          <w:tcPr/>
          <w:p>
            <w:pPr>
              <w:pStyle w:val="Compact"/>
              <w:jc w:val="left"/>
            </w:pPr>
            <w:r>
              <w:t xml:space="preserve">1 project</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33,300</w:t>
            </w:r>
          </w:p>
        </w:tc>
        <w:tc>
          <w:tcPr/>
          <w:p>
            <w:pPr>
              <w:pStyle w:val="Compact"/>
            </w:pPr>
          </w:p>
        </w:tc>
      </w:tr>
      <w:tr>
        <w:tc>
          <w:tcPr/>
          <w:p>
            <w:pPr>
              <w:pStyle w:val="Compact"/>
              <w:jc w:val="left"/>
            </w:pPr>
            <w:r>
              <w:t xml:space="preserve">3</w:t>
            </w:r>
          </w:p>
        </w:tc>
        <w:tc>
          <w:tcPr/>
          <w:p>
            <w:pPr>
              <w:pStyle w:val="Compact"/>
              <w:jc w:val="left"/>
            </w:pPr>
            <w:r>
              <w:t xml:space="preserve">Mathematician-led training workshops for in-house analysts (3 sessions, 4 hours each)</w:t>
            </w:r>
          </w:p>
        </w:tc>
        <w:tc>
          <w:tcPr/>
          <w:p>
            <w:pPr>
              <w:pStyle w:val="Compact"/>
              <w:jc w:val="left"/>
            </w:pPr>
            <w:r>
              <w:t xml:space="preserve">12 hours</w:t>
            </w:r>
          </w:p>
        </w:tc>
        <w:tc>
          <w:tcPr/>
          <w:p>
            <w:pPr>
              <w:pStyle w:val="Compact"/>
              <w:jc w:val="left"/>
            </w:pPr>
            <w:r>
              <w:t xml:space="preserve">2,200</w:t>
            </w:r>
          </w:p>
        </w:tc>
        <w:tc>
          <w:tcPr/>
          <w:p>
            <w:pPr>
              <w:pStyle w:val="Compact"/>
              <w:jc w:val="left"/>
            </w:pPr>
            <w:r>
              <w:t xml:space="preserve">26,400</w:t>
            </w:r>
          </w:p>
        </w:tc>
        <w:tc>
          <w:tcPr/>
          <w:p>
            <w:pPr>
              <w:pStyle w:val="Compact"/>
              <w:jc w:val="left"/>
            </w:pPr>
            <w:r>
              <w:t xml:space="preserve">4,752</w:t>
            </w:r>
          </w:p>
        </w:tc>
        <w:tc>
          <w:tcPr/>
          <w:p>
            <w:pPr>
              <w:pStyle w:val="Compact"/>
            </w:pPr>
          </w:p>
        </w:tc>
      </w:tr>
      <w:tr>
        <w:tc>
          <w:tcPr/>
          <w:p>
            <w:pPr>
              <w:pStyle w:val="Compact"/>
              <w:jc w:val="left"/>
            </w:pPr>
            <w:r>
              <w:t xml:space="preserve">4</w:t>
            </w:r>
          </w:p>
        </w:tc>
        <w:tc>
          <w:tcPr/>
          <w:p>
            <w:pPr>
              <w:pStyle w:val="Compact"/>
              <w:jc w:val="left"/>
            </w:pPr>
            <w:r>
              <w:t xml:space="preserve">Peer review and validation of existing mathematical models — Israel Tel Aviv R&amp;D lab</w:t>
            </w:r>
          </w:p>
        </w:tc>
        <w:tc>
          <w:tcPr/>
          <w:p>
            <w:pPr>
              <w:pStyle w:val="Compact"/>
              <w:jc w:val="left"/>
            </w:pPr>
            <w:r>
              <w:t xml:space="preserve">25 hours</w:t>
            </w:r>
          </w:p>
        </w:tc>
        <w:tc>
          <w:tcPr/>
          <w:p>
            <w:pPr>
              <w:pStyle w:val="Compact"/>
              <w:jc w:val="left"/>
            </w:pPr>
            <w:r>
              <w:t xml:space="preserve">1,650</w:t>
            </w:r>
          </w:p>
        </w:tc>
        <w:tc>
          <w:tcPr/>
          <w:p>
            <w:pPr>
              <w:pStyle w:val="Compact"/>
              <w:jc w:val="left"/>
            </w:pPr>
            <w:r>
              <w:t xml:space="preserve">41,250</w:t>
            </w:r>
          </w:p>
        </w:tc>
        <w:tc>
          <w:tcPr/>
          <w:p>
            <w:pPr>
              <w:pStyle w:val="Compact"/>
              <w:jc w:val="left"/>
            </w:pPr>
            <w:r>
              <w:t xml:space="preserve">7,425</w:t>
            </w:r>
          </w:p>
        </w:tc>
        <w:tc>
          <w:tcPr/>
          <w:p>
            <w:pPr>
              <w:pStyle w:val="Compact"/>
            </w:pPr>
          </w:p>
        </w:tc>
      </w:tr>
      <w:tr>
        <w:tc>
          <w:tcPr/>
          <w:p>
            <w:pPr>
              <w:pStyle w:val="Compact"/>
              <w:jc w:val="left"/>
            </w:pPr>
            <w:r>
              <w:t xml:space="preserve">5</w:t>
            </w:r>
          </w:p>
        </w:tc>
        <w:tc>
          <w:tcPr/>
          <w:p>
            <w:pPr>
              <w:pStyle w:val="Compact"/>
              <w:jc w:val="left"/>
            </w:pPr>
            <w:r>
              <w:t xml:space="preserve">Travel and local transportation within Israel Tel Aviv metropolitan area</w:t>
            </w:r>
          </w:p>
        </w:tc>
        <w:tc>
          <w:tcPr/>
          <w:p>
            <w:pPr>
              <w:pStyle w:val="Compact"/>
              <w:jc w:val="left"/>
            </w:pPr>
            <w:r>
              <w:t xml:space="preserve">1 month</w:t>
            </w:r>
          </w:p>
        </w:tc>
        <w:tc>
          <w:tcPr/>
          <w:p>
            <w:pPr>
              <w:pStyle w:val="Compact"/>
              <w:jc w:val="left"/>
            </w:pPr>
            <w:r>
              <w:t xml:space="preserve">3,500</w:t>
            </w:r>
          </w:p>
        </w:tc>
        <w:tc>
          <w:tcPr/>
          <w:p>
            <w:pPr>
              <w:pStyle w:val="Compact"/>
              <w:jc w:val="left"/>
            </w:pPr>
            <w:r>
              <w:t xml:space="preserve">3,500</w:t>
            </w:r>
          </w:p>
        </w:tc>
        <w:tc>
          <w:tcPr/>
          <w:p>
            <w:pPr>
              <w:pStyle w:val="Compact"/>
              <w:jc w:val="left"/>
            </w:pPr>
            <w:r>
              <w:t xml:space="preserve">630</w:t>
            </w:r>
          </w:p>
        </w:tc>
        <w:tc>
          <w:tcPr/>
          <w:p>
            <w:pPr>
              <w:pStyle w:val="Compact"/>
            </w:pPr>
          </w:p>
        </w:tc>
      </w:tr>
      <w:tr>
        <w:tc>
          <w:tcPr/>
          <w:p>
            <w:pPr>
              <w:pStyle w:val="Compact"/>
              <w:jc w:val="left"/>
            </w:pPr>
            <w:r>
              <w:t xml:space="preserve">6</w:t>
            </w:r>
          </w:p>
        </w:tc>
        <w:tc>
          <w:tcPr/>
          <w:p>
            <w:pPr>
              <w:pStyle w:val="Compact"/>
              <w:jc w:val="left"/>
            </w:pPr>
            <w:r>
              <w:t xml:space="preserve">Preparation of a comprehensive technical report with mathematical proofs and appendices</w:t>
            </w:r>
          </w:p>
        </w:tc>
        <w:tc>
          <w:tcPr/>
          <w:p>
            <w:pPr>
              <w:pStyle w:val="Compact"/>
              <w:jc w:val="left"/>
            </w:pPr>
            <w:r>
              <w:t xml:space="preserve">1 deliverable</w:t>
            </w:r>
          </w:p>
        </w:tc>
        <w:tc>
          <w:tcPr/>
          <w:p>
            <w:pPr>
              <w:pStyle w:val="Compact"/>
              <w:jc w:val="left"/>
            </w:pPr>
            <w:r>
              <w:t xml:space="preserve">28,000</w:t>
            </w:r>
          </w:p>
        </w:tc>
        <w:tc>
          <w:tcPr/>
          <w:p>
            <w:pPr>
              <w:pStyle w:val="Compact"/>
              <w:jc w:val="left"/>
            </w:pPr>
            <w:r>
              <w:t xml:space="preserve">28,000</w:t>
            </w:r>
          </w:p>
        </w:tc>
        <w:tc>
          <w:tcPr/>
          <w:p>
            <w:pPr>
              <w:pStyle w:val="Compact"/>
              <w:jc w:val="left"/>
            </w:pPr>
            <w:r>
              <w:t xml:space="preserve">5,040</w:t>
            </w:r>
          </w:p>
        </w:tc>
        <w:tc>
          <w:tcPr/>
          <w:p>
            <w:pPr>
              <w:pStyle w:val="Compact"/>
            </w:pPr>
          </w:p>
        </w:tc>
      </w:tr>
      <w:tr>
        <w:tc>
          <w:tcPr>
            <w:gridSpan w:val="4"/>
          </w:tcPr>
          <w:p>
            <w:pPr>
              <w:pStyle w:val="Compact"/>
              <w:jc w:val="left"/>
            </w:pPr>
            <w:r>
              <w:t xml:space="preserve">TOTAL QUOTATION ESTIMATE (incl. VAT)</w:t>
            </w:r>
          </w:p>
        </w:tc>
        <w:tc>
          <w:tcPr/>
          <w:p>
            <w:pPr>
              <w:pStyle w:val="Compact"/>
              <w:jc w:val="left"/>
            </w:pPr>
            <w:r>
              <w:t xml:space="preserve">361,150</w:t>
            </w:r>
          </w:p>
        </w:tc>
        <w:tc>
          <w:tcPr/>
          <w:p>
            <w:pPr>
              <w:pStyle w:val="Compact"/>
              <w:jc w:val="left"/>
            </w:pPr>
            <w:r>
              <w:t xml:space="preserve">64,467</w:t>
            </w:r>
          </w:p>
        </w:tc>
        <w:tc>
          <w:tcPr/>
          <w:p>
            <w:pPr>
              <w:pStyle w:val="Compact"/>
            </w:pPr>
          </w:p>
        </w:tc>
      </w:tr>
      <w:tr>
        <w:tc>
          <w:tcPr>
            <w:gridSpan w:val="5"/>
          </w:tcPr>
          <w:p>
            <w:pPr>
              <w:pStyle w:val="Compact"/>
              <w:jc w:val="right"/>
            </w:pPr>
            <w:r>
              <w:t xml:space="preserve">GRAND TOTAL (ILS):</w:t>
            </w:r>
          </w:p>
        </w:tc>
        <w:tc>
          <w:tcPr>
            <w:gridSpan w:val="2"/>
          </w:tcPr>
          <w:p>
            <w:pPr>
              <w:pStyle w:val="Compact"/>
              <w:jc w:val="left"/>
            </w:pPr>
            <w:r>
              <w:t xml:space="preserve">425,617</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rates may be subject to revision based on market conditions in Israel Tel Aviv.</w:t>
      </w:r>
    </w:p>
    <w:p>
      <w:pPr>
        <w:numPr>
          <w:ilvl w:val="0"/>
          <w:numId w:val="1001"/>
        </w:numPr>
        <w:pStyle w:val="Compact"/>
      </w:pPr>
      <w:r>
        <w:rPr>
          <w:bCs/>
          <w:b/>
        </w:rPr>
        <w:t xml:space="preserve">Payment Terms:</w:t>
      </w:r>
      <w:r>
        <w:t xml:space="preserve"> </w:t>
      </w:r>
      <w:r>
        <w:t xml:space="preserve">40% advance payment upon acceptance of this Quotation Estimate; 40% upon completion of the primary Mathematician deliverables; 20% upon final acceptance and delivery of the technical report.</w:t>
      </w:r>
    </w:p>
    <w:p>
      <w:pPr>
        <w:numPr>
          <w:ilvl w:val="0"/>
          <w:numId w:val="1001"/>
        </w:numPr>
        <w:pStyle w:val="Compact"/>
      </w:pPr>
      <w:r>
        <w:rPr>
          <w:bCs/>
          <w:b/>
        </w:rPr>
        <w:t xml:space="preserve">Location of Work:</w:t>
      </w:r>
      <w:r>
        <w:t xml:space="preserve"> </w:t>
      </w:r>
      <w:r>
        <w:t xml:space="preserve">All on-site services by the Mathematician shall be performed at the client's designated facility in Israel Tel Aviv, unless otherwise agreed in writing.</w:t>
      </w:r>
    </w:p>
    <w:p>
      <w:pPr>
        <w:numPr>
          <w:ilvl w:val="0"/>
          <w:numId w:val="1001"/>
        </w:numPr>
        <w:pStyle w:val="Compact"/>
      </w:pPr>
      <w:r>
        <w:rPr>
          <w:bCs/>
          <w:b/>
        </w:rPr>
        <w:t xml:space="preserve">Intellectual Property:</w:t>
      </w:r>
      <w:r>
        <w:t xml:space="preserve"> </w:t>
      </w:r>
      <w:r>
        <w:t xml:space="preserve">All mathematical models, algorithms, proofs, and documentation produced by the Mathematician under this engagement shall become the exclusive property of the client upon full payment.</w:t>
      </w:r>
    </w:p>
    <w:p>
      <w:pPr>
        <w:numPr>
          <w:ilvl w:val="0"/>
          <w:numId w:val="1001"/>
        </w:numPr>
        <w:pStyle w:val="Compact"/>
      </w:pPr>
      <w:r>
        <w:rPr>
          <w:bCs/>
          <w:b/>
        </w:rPr>
        <w:t xml:space="preserve">Confidentiality:</w:t>
      </w:r>
      <w:r>
        <w:t xml:space="preserve"> </w:t>
      </w:r>
      <w:r>
        <w:t xml:space="preserve">The Mathematician and our firm shall adhere to strict non-disclosure obligations in accordance with Israeli law (Privacy Protection Law, 5741-1981). All data processed in Israel Tel Aviv shall remain within Israeli jurisdiction.</w:t>
      </w:r>
    </w:p>
    <w:p>
      <w:pPr>
        <w:numPr>
          <w:ilvl w:val="0"/>
          <w:numId w:val="1001"/>
        </w:numPr>
        <w:pStyle w:val="Compact"/>
      </w:pPr>
      <w:r>
        <w:rPr>
          <w:bCs/>
          <w:b/>
        </w:rPr>
        <w:t xml:space="preserve">Substitution:</w:t>
      </w:r>
      <w:r>
        <w:t xml:space="preserve"> </w:t>
      </w:r>
      <w:r>
        <w:t xml:space="preserve">The assigned Mathematician may be substituted only with the prior written consent of the client, and any replacement shall possess equivalent or superior qualifications.</w:t>
      </w:r>
    </w:p>
    <w:p>
      <w:pPr>
        <w:numPr>
          <w:ilvl w:val="0"/>
          <w:numId w:val="1001"/>
        </w:numPr>
        <w:pStyle w:val="Compact"/>
      </w:pPr>
      <w:r>
        <w:rPr>
          <w:bCs/>
          <w:b/>
        </w:rPr>
        <w:t xml:space="preserve">Dispute Resolution:</w:t>
      </w:r>
      <w:r>
        <w:t xml:space="preserve"> </w:t>
      </w:r>
      <w:r>
        <w:t xml:space="preserve">Any disputes arising from this Quotation Estimate shall be resolved under the jurisdiction of the competent courts in Tel Aviv, Israel, in accordance with Israeli civil law.</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government-mandated closures in Israel Tel Aviv.</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and agrees to the scope, pricing, and terms outlined herein for the engagement of the Mathematician in Israel Tel Aviv. This document constitutes a binding estimate upon countersignature by both parties.</w:t>
      </w:r>
    </w:p>
    <w:p>
      <w:pPr>
        <w:pStyle w:val="BodyText"/>
      </w:pPr>
      <w:r>
        <w:rPr>
          <w:bCs/>
          <w:b/>
        </w:rPr>
        <w:t xml:space="preserve">For the Service Provider</w:t>
      </w:r>
      <w:r>
        <w:br/>
      </w:r>
      <w:r>
        <w:t xml:space="preserve">Dr. Yael Ben-Ami, Lead Mathematician</w:t>
      </w:r>
      <w:r>
        <w:br/>
      </w:r>
      <w:r>
        <w:t xml:space="preserve">MathConsult Israel Ltd.</w:t>
      </w:r>
      <w:r>
        <w:br/>
      </w:r>
      <w:r>
        <w:t xml:space="preserve">Tel Aviv-Yafo, Israel</w:t>
      </w:r>
      <w:r>
        <w:br/>
      </w:r>
      <w:r>
        <w:t xml:space="preserve">Date: _______________</w:t>
      </w:r>
    </w:p>
    <w:p>
      <w:pPr>
        <w:pStyle w:val="BodyText"/>
      </w:pPr>
      <w:r>
        <w:rPr>
          <w:bCs/>
          <w:b/>
        </w:rPr>
        <w:t xml:space="preserve">For the Client</w:t>
      </w:r>
      <w:r>
        <w:br/>
      </w:r>
      <w:r>
        <w:t xml:space="preserve">Meridian Financial Analytics Ltd.</w:t>
      </w:r>
      <w:r>
        <w:br/>
      </w:r>
      <w:r>
        <w:t xml:space="preserve">Authorized Signatory</w:t>
      </w:r>
      <w:r>
        <w:br/>
      </w:r>
      <w:r>
        <w:t xml:space="preserve">Tel Aviv-Yafo, Israel</w:t>
      </w:r>
      <w:r>
        <w:br/>
      </w:r>
      <w:r>
        <w:t xml:space="preserve">Date: _______________</w:t>
      </w:r>
    </w:p>
    <w:p>
      <w:pPr>
        <w:pStyle w:val="BodyText"/>
      </w:pPr>
      <w:r>
        <w:t xml:space="preserve">This Quotation Estimate was prepared by MathConsult Israel Ltd., a registered professional services firm operating in Israel Tel Aviv.</w:t>
      </w:r>
      <w:r>
        <w:t xml:space="preserve"> </w:t>
      </w:r>
      <w:r>
        <w:t xml:space="preserve">All rates are quoted in Israeli New Shekels (ILS) and include applicable VAT at the current rate of 18%.</w:t>
      </w:r>
      <w:r>
        <w:t xml:space="preserve"> </w:t>
      </w:r>
      <w:r>
        <w:t xml:space="preserve">Document Reference: QTE-2025-TLV-0847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Israel Tel Aviv</dc:title>
  <dc:creator/>
  <dc:language>en</dc:language>
  <cp:keywords/>
  <dcterms:created xsi:type="dcterms:W3CDTF">2026-10-10T02:20:07Z</dcterms:created>
  <dcterms:modified xsi:type="dcterms:W3CDTF">2026-10-10T02:20:07Z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