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Mathematician Services — Japan Osaka Region</w:t>
      </w:r>
    </w:p>
    <w:p>
      <w:pPr>
        <w:pStyle w:val="BodyText"/>
      </w:pPr>
      <w:r>
        <w:t xml:space="preserve">Osaka Metropolitan Area | Kansai Region, Japan</w:t>
      </w:r>
    </w:p>
    <w:bookmarkEnd w:id="20"/>
    <w:p>
      <w:pPr>
        <w:pStyle w:val="BodyText"/>
      </w:pPr>
      <w:r>
        <w:rPr>
          <w:bCs/>
          <w:b/>
        </w:rPr>
        <w:t xml:space="preserve">Quotation No.:</w:t>
      </w:r>
      <w:r>
        <w:t xml:space="preserve"> </w:t>
      </w:r>
      <w:r>
        <w:t xml:space="preserve">QE-2025-OSK-0472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Dr. Kenji Tanaka, Lead Mathematician</w:t>
      </w:r>
      <w:r>
        <w:br/>
      </w:r>
      <w:r>
        <w:rPr>
          <w:bCs/>
          <w:b/>
        </w:rPr>
        <w:t xml:space="preserve">Company:</w:t>
      </w:r>
      <w:r>
        <w:t xml:space="preserve"> </w:t>
      </w:r>
      <w:r>
        <w:t xml:space="preserve">Osaka Applied Mathematics Consulting Co., Ltd.</w:t>
      </w:r>
      <w:r>
        <w:br/>
      </w:r>
      <w:r>
        <w:rPr>
          <w:bCs/>
          <w:b/>
        </w:rPr>
        <w:t xml:space="preserve">Address:</w:t>
      </w:r>
      <w:r>
        <w:t xml:space="preserve"> </w:t>
      </w:r>
      <w:r>
        <w:t xml:space="preserve">3-2-1 Umeda, Kita-ku, Osaka 530-0001, Japan</w:t>
      </w:r>
    </w:p>
    <w:p>
      <w:pPr>
        <w:pStyle w:val="BodyText"/>
      </w:pPr>
      <w:r>
        <w:rPr>
          <w:bCs/>
          <w:b/>
        </w:rPr>
        <w:t xml:space="preserve">Prepared For:</w:t>
      </w:r>
      <w:r>
        <w:t xml:space="preserve"> </w:t>
      </w:r>
      <w:r>
        <w:t xml:space="preserve">Nippon Industrial Research Institute</w:t>
      </w:r>
      <w:r>
        <w:br/>
      </w:r>
      <w:r>
        <w:rPr>
          <w:bCs/>
          <w:b/>
        </w:rPr>
        <w:t xml:space="preserve">Client Contact:</w:t>
      </w:r>
      <w:r>
        <w:t xml:space="preserve"> </w:t>
      </w:r>
      <w:r>
        <w:t xml:space="preserve">Mr. Hiroshi Yamamoto</w:t>
      </w:r>
      <w:r>
        <w:br/>
      </w:r>
      <w:r>
        <w:rPr>
          <w:bCs/>
          <w:b/>
        </w:rPr>
        <w:t xml:space="preserve">Client Address:</w:t>
      </w:r>
      <w:r>
        <w:t xml:space="preserve"> </w:t>
      </w:r>
      <w:r>
        <w:t xml:space="preserve">15-1 Tennoji, Sumiyoshi-ku, Osaka 556-0003, Japan</w:t>
      </w:r>
    </w:p>
    <w:p>
      <w:pPr>
        <w:pStyle w:val="BodyText"/>
      </w:pPr>
      <w:r>
        <w:t xml:space="preserve">This</w:t>
      </w:r>
      <w:r>
        <w:t xml:space="preserve"> </w:t>
      </w:r>
      <w:r>
        <w:rPr>
          <w:bCs/>
          <w:b/>
        </w:rPr>
        <w:t xml:space="preserve">Quotation Estimate</w:t>
      </w:r>
      <w:r>
        <w:t xml:space="preserve"> </w:t>
      </w:r>
      <w:r>
        <w:t xml:space="preserve">is issued by Osaka Applied Mathematics Consulting Co., Ltd. to provide a comprehensive and transparent breakdown of costs associated with the engagement of a senior</w:t>
      </w:r>
      <w:r>
        <w:t xml:space="preserve"> </w:t>
      </w:r>
      <w:r>
        <w:rPr>
          <w:bCs/>
          <w:b/>
        </w:rPr>
        <w:t xml:space="preserve">Mathematician</w:t>
      </w:r>
      <w:r>
        <w:t xml:space="preserve"> </w:t>
      </w:r>
      <w:r>
        <w:t xml:space="preserve">for advanced analytical and computational services to be delivered within the</w:t>
      </w:r>
      <w:r>
        <w:t xml:space="preserve"> </w:t>
      </w:r>
      <w:r>
        <w:rPr>
          <w:bCs/>
          <w:b/>
        </w:rPr>
        <w:t xml:space="preserve">Japan Osaka</w:t>
      </w:r>
      <w:r>
        <w:t xml:space="preserve"> </w:t>
      </w:r>
      <w:r>
        <w:t xml:space="preserve">metropolitan area. This document serves as a formal proposal outlining the scope of work, deliverables, fee structure, and applicable terms governing the professional relationship between the parties.</w:t>
      </w:r>
    </w:p>
    <w:bookmarkStart w:id="21" w:name="X7a4bb93aebdf12f9b6d5f29a93e582a69f935a1"/>
    <w:p>
      <w:pPr>
        <w:pStyle w:val="Heading2"/>
      </w:pPr>
      <w:r>
        <w:t xml:space="preserve">1. Scope of Services — Mathematician Engagement in Japan Osaka</w:t>
      </w:r>
    </w:p>
    <w:p>
      <w:pPr>
        <w:pStyle w:val="FirstParagraph"/>
      </w:pPr>
      <w:r>
        <w:t xml:space="preserve">The</w:t>
      </w:r>
      <w:r>
        <w:t xml:space="preserve"> </w:t>
      </w:r>
      <w:r>
        <w:rPr>
          <w:bCs/>
          <w:b/>
        </w:rPr>
        <w:t xml:space="preserve">Mathematician</w:t>
      </w:r>
      <w:r>
        <w:t xml:space="preserve"> </w:t>
      </w:r>
      <w:r>
        <w:t xml:space="preserve">engaged under this Quotation Estimate shall provide specialized expertise in applied mathematics, numerical analysis, stochastic modeling, and optimization theory. All services will be performed primarily at the client's facility located in Sumiyoshi-ku,</w:t>
      </w:r>
      <w:r>
        <w:t xml:space="preserve"> </w:t>
      </w:r>
      <w:r>
        <w:rPr>
          <w:bCs/>
          <w:b/>
        </w:rPr>
        <w:t xml:space="preserve">Japan Osaka</w:t>
      </w:r>
      <w:r>
        <w:t xml:space="preserve">, with supplementary work conducted at our consulting office in Umeda, Kita-ku, Osaka. The Mathematician will be responsible for developing mathematical frameworks, solving complex differential equations, performing statistical inference, and delivering peer-reviewed analytical reports tailored to the client's industrial research objectives.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consultation and problem scoping session with the client's engineering team in Japan Osaka</w:t>
            </w:r>
          </w:p>
        </w:tc>
        <w:tc>
          <w:tcPr/>
          <w:p>
            <w:pPr>
              <w:pStyle w:val="Compact"/>
              <w:jc w:val="left"/>
            </w:pPr>
            <w:r>
              <w:t xml:space="preserve">2 days</w:t>
            </w:r>
          </w:p>
        </w:tc>
        <w:tc>
          <w:tcPr/>
          <w:p>
            <w:pPr>
              <w:pStyle w:val="Compact"/>
              <w:jc w:val="left"/>
            </w:pPr>
            <w:r>
              <w:t xml:space="preserve">180,000</w:t>
            </w:r>
          </w:p>
        </w:tc>
        <w:tc>
          <w:tcPr/>
          <w:p>
            <w:pPr>
              <w:pStyle w:val="Compact"/>
              <w:jc w:val="left"/>
            </w:pPr>
            <w:r>
              <w:t xml:space="preserve">360,000</w:t>
            </w:r>
          </w:p>
        </w:tc>
        <w:tc>
          <w:tcPr/>
          <w:p>
            <w:pPr>
              <w:pStyle w:val="Compact"/>
              <w:jc w:val="left"/>
            </w:pPr>
            <w:r>
              <w:t xml:space="preserve">On-site at client facility, Sumiyoshi-ku</w:t>
            </w:r>
          </w:p>
        </w:tc>
      </w:tr>
      <w:tr>
        <w:tc>
          <w:tcPr/>
          <w:p>
            <w:pPr>
              <w:pStyle w:val="Compact"/>
              <w:jc w:val="left"/>
            </w:pPr>
            <w:r>
              <w:t xml:space="preserve">2</w:t>
            </w:r>
          </w:p>
        </w:tc>
        <w:tc>
          <w:tcPr/>
          <w:p>
            <w:pPr>
              <w:pStyle w:val="Compact"/>
              <w:jc w:val="left"/>
            </w:pPr>
            <w:r>
              <w:t xml:space="preserve">Development of stochastic differential equation models for manufacturing process optimization</w:t>
            </w:r>
          </w:p>
        </w:tc>
        <w:tc>
          <w:tcPr/>
          <w:p>
            <w:pPr>
              <w:pStyle w:val="Compact"/>
              <w:jc w:val="left"/>
            </w:pPr>
            <w:r>
              <w:t xml:space="preserve">15 days</w:t>
            </w:r>
          </w:p>
        </w:tc>
        <w:tc>
          <w:tcPr/>
          <w:p>
            <w:pPr>
              <w:pStyle w:val="Compact"/>
              <w:jc w:val="left"/>
            </w:pPr>
            <w:r>
              <w:t xml:space="preserve">220,000</w:t>
            </w:r>
          </w:p>
        </w:tc>
        <w:tc>
          <w:tcPr/>
          <w:p>
            <w:pPr>
              <w:pStyle w:val="Compact"/>
              <w:jc w:val="left"/>
            </w:pPr>
            <w:r>
              <w:t xml:space="preserve">3,300,000</w:t>
            </w:r>
          </w:p>
        </w:tc>
        <w:tc>
          <w:tcPr/>
          <w:p>
            <w:pPr>
              <w:pStyle w:val="Compact"/>
              <w:jc w:val="left"/>
            </w:pPr>
            <w:r>
              <w:t xml:space="preserve">Mathematician works full-time; includes derivation and validation</w:t>
            </w:r>
          </w:p>
        </w:tc>
      </w:tr>
      <w:tr>
        <w:tc>
          <w:tcPr/>
          <w:p>
            <w:pPr>
              <w:pStyle w:val="Compact"/>
              <w:jc w:val="left"/>
            </w:pPr>
            <w:r>
              <w:t xml:space="preserve">3</w:t>
            </w:r>
          </w:p>
        </w:tc>
        <w:tc>
          <w:tcPr/>
          <w:p>
            <w:pPr>
              <w:pStyle w:val="Compact"/>
              <w:jc w:val="left"/>
            </w:pPr>
            <w:r>
              <w:t xml:space="preserve">Numerical simulation and computational analysis using MATLAB and Python frameworks</w:t>
            </w:r>
          </w:p>
        </w:tc>
        <w:tc>
          <w:tcPr/>
          <w:p>
            <w:pPr>
              <w:pStyle w:val="Compact"/>
              <w:jc w:val="left"/>
            </w:pPr>
            <w:r>
              <w:t xml:space="preserve">10 days</w:t>
            </w:r>
          </w:p>
        </w:tc>
        <w:tc>
          <w:tcPr/>
          <w:p>
            <w:pPr>
              <w:pStyle w:val="Compact"/>
              <w:jc w:val="left"/>
            </w:pPr>
            <w:r>
              <w:t xml:space="preserve">200,000</w:t>
            </w:r>
          </w:p>
        </w:tc>
        <w:tc>
          <w:tcPr/>
          <w:p>
            <w:pPr>
              <w:pStyle w:val="Compact"/>
              <w:jc w:val="left"/>
            </w:pPr>
            <w:r>
              <w:t xml:space="preserve">2,000,000</w:t>
            </w:r>
          </w:p>
        </w:tc>
        <w:tc>
          <w:tcPr/>
          <w:p>
            <w:pPr>
              <w:pStyle w:val="Compact"/>
              <w:jc w:val="left"/>
            </w:pPr>
            <w:r>
              <w:t xml:space="preserve">Access to client's HPC cluster in Osaka</w:t>
            </w:r>
          </w:p>
        </w:tc>
      </w:tr>
      <w:tr>
        <w:tc>
          <w:tcPr/>
          <w:p>
            <w:pPr>
              <w:pStyle w:val="Compact"/>
              <w:jc w:val="left"/>
            </w:pPr>
            <w:r>
              <w:t xml:space="preserve">4</w:t>
            </w:r>
          </w:p>
        </w:tc>
        <w:tc>
          <w:tcPr/>
          <w:p>
            <w:pPr>
              <w:pStyle w:val="Compact"/>
              <w:jc w:val="left"/>
            </w:pPr>
            <w:r>
              <w:t xml:space="preserve">Preparation of comprehensive mathematical report with proofs, derivations, and recommendations</w:t>
            </w:r>
          </w:p>
        </w:tc>
        <w:tc>
          <w:tcPr/>
          <w:p>
            <w:pPr>
              <w:pStyle w:val="Compact"/>
              <w:jc w:val="left"/>
            </w:pPr>
            <w:r>
              <w:t xml:space="preserve">7 days</w:t>
            </w:r>
          </w:p>
        </w:tc>
        <w:tc>
          <w:tcPr/>
          <w:p>
            <w:pPr>
              <w:pStyle w:val="Compact"/>
              <w:jc w:val="left"/>
            </w:pPr>
            <w:r>
              <w:t xml:space="preserve">190,000</w:t>
            </w:r>
          </w:p>
        </w:tc>
        <w:tc>
          <w:tcPr/>
          <w:p>
            <w:pPr>
              <w:pStyle w:val="Compact"/>
              <w:jc w:val="left"/>
            </w:pPr>
            <w:r>
              <w:t xml:space="preserve">1,330,000</w:t>
            </w:r>
          </w:p>
        </w:tc>
        <w:tc>
          <w:tcPr/>
          <w:p>
            <w:pPr>
              <w:pStyle w:val="Compact"/>
              <w:jc w:val="left"/>
            </w:pPr>
            <w:r>
              <w:t xml:space="preserve">Delivered in Japanese and English</w:t>
            </w:r>
          </w:p>
        </w:tc>
      </w:tr>
      <w:tr>
        <w:tc>
          <w:tcPr/>
          <w:p>
            <w:pPr>
              <w:pStyle w:val="Compact"/>
              <w:jc w:val="left"/>
            </w:pPr>
            <w:r>
              <w:t xml:space="preserve">5</w:t>
            </w:r>
          </w:p>
        </w:tc>
        <w:tc>
          <w:tcPr/>
          <w:p>
            <w:pPr>
              <w:pStyle w:val="Compact"/>
              <w:jc w:val="left"/>
            </w:pPr>
            <w:r>
              <w:t xml:space="preserve">On-site presentation and technical workshop for client staff in Japan Osaka</w:t>
            </w:r>
          </w:p>
        </w:tc>
        <w:tc>
          <w:tcPr/>
          <w:p>
            <w:pPr>
              <w:pStyle w:val="Compact"/>
              <w:jc w:val="left"/>
            </w:pPr>
            <w:r>
              <w:t xml:space="preserve">2 days</w:t>
            </w:r>
          </w:p>
        </w:tc>
        <w:tc>
          <w:tcPr/>
          <w:p>
            <w:pPr>
              <w:pStyle w:val="Compact"/>
              <w:jc w:val="left"/>
            </w:pPr>
            <w:r>
              <w:t xml:space="preserve">175,000</w:t>
            </w:r>
          </w:p>
        </w:tc>
        <w:tc>
          <w:tcPr/>
          <w:p>
            <w:pPr>
              <w:pStyle w:val="Compact"/>
              <w:jc w:val="left"/>
            </w:pPr>
            <w:r>
              <w:t xml:space="preserve">350,000</w:t>
            </w:r>
          </w:p>
        </w:tc>
        <w:tc>
          <w:tcPr/>
          <w:p>
            <w:pPr>
              <w:pStyle w:val="Compact"/>
              <w:jc w:val="left"/>
            </w:pPr>
            <w:r>
              <w:t xml:space="preserve">Includes Q&amp;A and follow-up guidance</w:t>
            </w:r>
          </w:p>
        </w:tc>
      </w:tr>
      <w:tr>
        <w:tc>
          <w:tcPr/>
          <w:p>
            <w:pPr>
              <w:pStyle w:val="Compact"/>
              <w:jc w:val="left"/>
            </w:pPr>
            <w:r>
              <w:t xml:space="preserve">6</w:t>
            </w:r>
          </w:p>
        </w:tc>
        <w:tc>
          <w:tcPr/>
          <w:p>
            <w:pPr>
              <w:pStyle w:val="Compact"/>
              <w:jc w:val="left"/>
            </w:pPr>
            <w:r>
              <w:t xml:space="preserve">Post-delivery support and model refinement (remote, Osaka-based)</w:t>
            </w:r>
          </w:p>
        </w:tc>
        <w:tc>
          <w:tcPr/>
          <w:p>
            <w:pPr>
              <w:pStyle w:val="Compact"/>
              <w:jc w:val="left"/>
            </w:pPr>
            <w:r>
              <w:t xml:space="preserve">5 days</w:t>
            </w:r>
          </w:p>
        </w:tc>
        <w:tc>
          <w:tcPr/>
          <w:p>
            <w:pPr>
              <w:pStyle w:val="Compact"/>
              <w:jc w:val="left"/>
            </w:pPr>
            <w:r>
              <w:t xml:space="preserve">150,000</w:t>
            </w:r>
          </w:p>
        </w:tc>
        <w:tc>
          <w:tcPr/>
          <w:p>
            <w:pPr>
              <w:pStyle w:val="Compact"/>
              <w:jc w:val="left"/>
            </w:pPr>
            <w:r>
              <w:t xml:space="preserve">750,000</w:t>
            </w:r>
          </w:p>
        </w:tc>
        <w:tc>
          <w:tcPr/>
          <w:p>
            <w:pPr>
              <w:pStyle w:val="Compact"/>
              <w:jc w:val="left"/>
            </w:pPr>
            <w:r>
              <w:t xml:space="preserve">Available via video conference or in-person in Osaka</w:t>
            </w:r>
          </w:p>
        </w:tc>
      </w:tr>
      <w:tr>
        <w:tc>
          <w:tcPr/>
          <w:p>
            <w:pPr>
              <w:pStyle w:val="Compact"/>
              <w:jc w:val="left"/>
            </w:pPr>
            <w:r>
              <w:t xml:space="preserve">7</w:t>
            </w:r>
          </w:p>
        </w:tc>
        <w:tc>
          <w:tcPr/>
          <w:p>
            <w:pPr>
              <w:pStyle w:val="Compact"/>
              <w:jc w:val="left"/>
            </w:pPr>
            <w:r>
              <w:t xml:space="preserve">Travel and accommodation within Japan Osaka metropolitan area</w:t>
            </w:r>
          </w:p>
        </w:tc>
        <w:tc>
          <w:tcPr/>
          <w:p>
            <w:pPr>
              <w:pStyle w:val="Compact"/>
              <w:jc w:val="left"/>
            </w:pPr>
            <w:r>
              <w:t xml:space="preserve">37 days</w:t>
            </w:r>
          </w:p>
        </w:tc>
        <w:tc>
          <w:tcPr/>
          <w:p>
            <w:pPr>
              <w:pStyle w:val="Compact"/>
              <w:jc w:val="left"/>
            </w:pPr>
            <w:r>
              <w:t xml:space="preserve">45,000</w:t>
            </w:r>
          </w:p>
        </w:tc>
        <w:tc>
          <w:tcPr/>
          <w:p>
            <w:pPr>
              <w:pStyle w:val="Compact"/>
              <w:jc w:val="left"/>
            </w:pPr>
            <w:r>
              <w:t xml:space="preserve">1,665,000</w:t>
            </w:r>
          </w:p>
        </w:tc>
        <w:tc>
          <w:tcPr/>
          <w:p>
            <w:pPr>
              <w:pStyle w:val="Compact"/>
              <w:jc w:val="left"/>
            </w:pPr>
            <w:r>
              <w:t xml:space="preserve">Per diem rate; includes local transit in Osaka</w:t>
            </w:r>
          </w:p>
        </w:tc>
      </w:tr>
      <w:tr>
        <w:tc>
          <w:tcPr/>
          <w:p>
            <w:pPr>
              <w:pStyle w:val="Compact"/>
              <w:jc w:val="left"/>
            </w:pPr>
            <w:r>
              <w:t xml:space="preserve">8</w:t>
            </w:r>
          </w:p>
        </w:tc>
        <w:tc>
          <w:tcPr/>
          <w:p>
            <w:pPr>
              <w:pStyle w:val="Compact"/>
              <w:jc w:val="left"/>
            </w:pPr>
            <w:r>
              <w:t xml:space="preserve">Software licensing and computational resource allocation</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One-time fee for specialized mathematical software</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&amp; Resources)</w:t>
            </w:r>
          </w:p>
        </w:tc>
        <w:tc>
          <w:tcPr/>
          <w:p>
            <w:pPr>
              <w:pStyle w:val="Compact"/>
              <w:jc w:val="right"/>
            </w:pPr>
            <w:r>
              <w:t xml:space="preserve">10,955,000 JPY</w:t>
            </w:r>
          </w:p>
        </w:tc>
      </w:tr>
      <w:tr>
        <w:tc>
          <w:tcPr/>
          <w:p>
            <w:pPr>
              <w:pStyle w:val="Compact"/>
              <w:jc w:val="left"/>
            </w:pPr>
            <w:r>
              <w:t xml:space="preserve">Consumption Tax (10% — Japan Osaka jurisdiction)</w:t>
            </w:r>
          </w:p>
        </w:tc>
        <w:tc>
          <w:tcPr/>
          <w:p>
            <w:pPr>
              <w:pStyle w:val="Compact"/>
              <w:jc w:val="right"/>
            </w:pPr>
            <w:r>
              <w:t xml:space="preserve">1,095,500 JPY</w:t>
            </w:r>
          </w:p>
        </w:tc>
      </w:tr>
      <w:tr>
        <w:tc>
          <w:tcPr/>
          <w:p>
            <w:pPr>
              <w:pStyle w:val="Compact"/>
              <w:jc w:val="left"/>
            </w:pPr>
            <w:r>
              <w:rPr>
                <w:bCs/>
                <w:b/>
              </w:rPr>
              <w:t xml:space="preserve">TOTAL QUOTATION ESTIMATE</w:t>
            </w:r>
          </w:p>
        </w:tc>
        <w:tc>
          <w:tcPr/>
          <w:p>
            <w:pPr>
              <w:pStyle w:val="Compact"/>
              <w:jc w:val="right"/>
            </w:pPr>
            <w:r>
              <w:rPr>
                <w:bCs/>
                <w:b/>
              </w:rPr>
              <w:t xml:space="preserve">12,050,500 JPY</w:t>
            </w:r>
          </w:p>
        </w:tc>
      </w:tr>
    </w:tbl>
    <w:p>
      <w:pPr>
        <w:pStyle w:val="BodyText"/>
      </w:pPr>
      <w:r>
        <w:t xml:space="preserve">* All amounts are denominated in Japanese Yen (JPY). This Quotation Estimate is subject to revision should the scope of the Mathematician's engagement be materially altered by mutual written agreement.</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Upon expiration, the Mathematician's availability and the stated rates may be subject to revision.</w:t>
      </w:r>
    </w:p>
    <w:p>
      <w:pPr>
        <w:numPr>
          <w:ilvl w:val="0"/>
          <w:numId w:val="1001"/>
        </w:numPr>
        <w:pStyle w:val="Compact"/>
      </w:pPr>
      <w:r>
        <w:t xml:space="preserve">Payment terms: 40% advance payment upon acceptance of this Quotation Estimate; 40% upon delivery of the mathematical report; 20% upon completion of the post-delivery support phase in Japan Osaka.</w:t>
      </w:r>
    </w:p>
    <w:p>
      <w:pPr>
        <w:numPr>
          <w:ilvl w:val="0"/>
          <w:numId w:val="1001"/>
        </w:numPr>
        <w:pStyle w:val="Compact"/>
      </w:pPr>
      <w:r>
        <w:t xml:space="preserve">The Mathematician shall maintain full confidentiality of all proprietary data, formulas, and industrial processes encountered during the engagement in Japan Osaka. A separate Non-Disclosure Agreement (NDA) shall be executed prior to commencement of work.</w:t>
      </w:r>
    </w:p>
    <w:p>
      <w:pPr>
        <w:numPr>
          <w:ilvl w:val="0"/>
          <w:numId w:val="1001"/>
        </w:numPr>
        <w:pStyle w:val="Compact"/>
      </w:pPr>
      <w:r>
        <w:t xml:space="preserve">All intellectual property generated by the Mathematician specifically for the client under this engagement shall be transferred to the client upon full payment, as stipulated in the master service agreement.</w:t>
      </w:r>
    </w:p>
    <w:p>
      <w:pPr>
        <w:numPr>
          <w:ilvl w:val="0"/>
          <w:numId w:val="1001"/>
        </w:numPr>
        <w:pStyle w:val="Compact"/>
      </w:pPr>
      <w:r>
        <w:t xml:space="preserve">The Mathematician reserves the right to publish general methodological findings in peer-reviewed journals, provided that no client-specific data or proprietary parameters are disclosed.</w:t>
      </w:r>
    </w:p>
    <w:p>
      <w:pPr>
        <w:numPr>
          <w:ilvl w:val="0"/>
          <w:numId w:val="1001"/>
        </w:numPr>
        <w:pStyle w:val="Compact"/>
      </w:pPr>
      <w:r>
        <w:t xml:space="preserve">Any change in scope exceeding 10% of the originally estimated workload will trigger a supplementary Quotation Estimate, to be approved in writing by both parties before additional work commences.</w:t>
      </w:r>
    </w:p>
    <w:p>
      <w:pPr>
        <w:numPr>
          <w:ilvl w:val="0"/>
          <w:numId w:val="1001"/>
        </w:numPr>
        <w:pStyle w:val="Compact"/>
      </w:pPr>
      <w:r>
        <w:t xml:space="preserve">This Quotation Estimate is governed by the laws of Japan, with jurisdiction vested in the Osaka District Court. Any disputes arising from the Mathematician's services in Japan Osaka shall be resolved through mediation before litigation.</w:t>
      </w:r>
    </w:p>
    <w:p>
      <w:pPr>
        <w:numPr>
          <w:ilvl w:val="0"/>
          <w:numId w:val="1001"/>
        </w:numPr>
        <w:pStyle w:val="Compact"/>
      </w:pPr>
      <w:r>
        <w:t xml:space="preserve">The client agrees to provide the Mathematician with reasonable access to facilities, data, and personnel within the Japan Osaka site to ensure timely and accurate delivery of all mathematical deliverables.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Osaka Applied Mathematics Consulting Co., Ltd. to proceed with the engagement of the Mathematician as described herein for services to be rendered in Japan Osaka.</w:t>
      </w:r>
    </w:p>
    <w:p>
      <w:pPr>
        <w:pStyle w:val="BodyText"/>
      </w:pPr>
      <w:r>
        <w:rPr>
          <w:bCs/>
          <w:b/>
        </w:rPr>
        <w:t xml:space="preserve">For: Osaka Applied Mathematics Consulting Co., Ltd.</w:t>
      </w:r>
      <w:r>
        <w:br/>
      </w:r>
      <w:r>
        <w:t xml:space="preserve">Dr. Kenji Tanaka, Lead Mathematician</w:t>
      </w:r>
      <w:r>
        <w:br/>
      </w:r>
      <w:r>
        <w:t xml:space="preserve">Date: _______________</w:t>
      </w:r>
    </w:p>
    <w:p>
      <w:pPr>
        <w:pStyle w:val="BodyText"/>
      </w:pPr>
      <w:r>
        <w:rPr>
          <w:bCs/>
          <w:b/>
        </w:rPr>
        <w:t xml:space="preserve">For: Nippon Industrial Research Institute</w:t>
      </w:r>
      <w:r>
        <w:br/>
      </w:r>
      <w:r>
        <w:t xml:space="preserve">Mr. Hiroshi Yamamoto, Director</w:t>
      </w:r>
      <w:r>
        <w:br/>
      </w:r>
      <w:r>
        <w:t xml:space="preserve">Date: _______________</w:t>
      </w:r>
    </w:p>
    <w:p>
      <w:pPr>
        <w:pStyle w:val="BodyText"/>
      </w:pPr>
      <w:r>
        <w:t xml:space="preserve">Osaka Applied Mathematics Consulting Co., Ltd. | 3-2-1 Umeda, Kita-ku, Osaka 530-0001, Japan | Tel: +81-6-6345-0000 | Email: contact@osaka-amc.jp</w:t>
      </w:r>
    </w:p>
    <w:p>
      <w:pPr>
        <w:pStyle w:val="BodyText"/>
      </w:pPr>
      <w:r>
        <w:t xml:space="preserve">This Quotation Estimate document QE-2025-OSK-0472 is the property of Osaka Applied Mathematics Consulting Co., Ltd. and is intended solely for the named client in Japan Osaka.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Japan Osaka</dc:title>
  <dc:creator/>
  <dc:language>en</dc:language>
  <cp:keywords/>
  <dcterms:created xsi:type="dcterms:W3CDTF">2026-10-10T06:18:23Z</dcterms:created>
  <dcterms:modified xsi:type="dcterms:W3CDTF">2026-10-10T06:18:23Z</dcterms:modified>
</cp:coreProperties>
</file>

<file path=docProps/custom.xml><?xml version="1.0" encoding="utf-8"?>
<Properties xmlns="http://schemas.openxmlformats.org/officeDocument/2006/custom-properties" xmlns:vt="http://schemas.openxmlformats.org/officeDocument/2006/docPropsVTypes"/>
</file>