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mathematical-consultancy-llp"/>
    <w:p>
      <w:pPr>
        <w:pStyle w:val="Heading1"/>
      </w:pPr>
      <w:r>
        <w:t xml:space="preserve">ALMATY MATHEMATICAL CONSULTANCY LLP</w:t>
      </w:r>
    </w:p>
    <w:p>
      <w:pPr>
        <w:pStyle w:val="FirstParagraph"/>
      </w:pPr>
      <w:r>
        <w:t xml:space="preserve">125 Abai Avenue, Almaty, 050040, Republic of Kazakhstan</w:t>
      </w:r>
    </w:p>
    <w:p>
      <w:pPr>
        <w:pStyle w:val="BodyText"/>
      </w:pPr>
      <w:r>
        <w:t xml:space="preserve">Tax ID (BIN): 990740012345 | Phone: +7 (727) 312-4567 | Email: info@almaty-math.kz</w:t>
      </w:r>
    </w:p>
    <w:p>
      <w:pPr>
        <w:pStyle w:val="BodyText"/>
      </w:pPr>
      <w:r>
        <w:t xml:space="preserve">Registered with the Almaty City Department of Justice</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QTE-2025-KZ-0487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Aigerim Nurlanova, Chief Research Officer, Astana Scientific Institute</w:t>
            </w:r>
          </w:p>
        </w:tc>
      </w:tr>
      <w:tr>
        <w:tc>
          <w:tcPr/>
          <w:p>
            <w:pPr>
              <w:pStyle w:val="Compact"/>
              <w:jc w:val="left"/>
            </w:pPr>
            <w:r>
              <w:t xml:space="preserve">Project Location</w:t>
            </w:r>
          </w:p>
        </w:tc>
        <w:tc>
          <w:tcPr/>
          <w:p>
            <w:pPr>
              <w:pStyle w:val="Compact"/>
              <w:jc w:val="left"/>
            </w:pPr>
            <w:r>
              <w:t xml:space="preserve">Kazakhstan Almaty – Almaty Technopark, 45 Dostyk Avenue</w:t>
            </w:r>
          </w:p>
        </w:tc>
      </w:tr>
      <w:tr>
        <w:tc>
          <w:tcPr/>
          <w:p>
            <w:pPr>
              <w:pStyle w:val="Compact"/>
              <w:jc w:val="left"/>
            </w:pPr>
            <w:r>
              <w:t xml:space="preserve">Currency</w:t>
            </w:r>
          </w:p>
        </w:tc>
        <w:tc>
          <w:tcPr/>
          <w:p>
            <w:pPr>
              <w:pStyle w:val="Compact"/>
              <w:jc w:val="left"/>
            </w:pPr>
            <w:r>
              <w:t xml:space="preserve">Kazakhstani Tenge (KZT) / US Dollars (USD)</w:t>
            </w:r>
          </w:p>
        </w:tc>
      </w:tr>
    </w:tbl>
    <w:p>
      <w:pPr>
        <w:pStyle w:val="BodyText"/>
      </w:pPr>
      <w:r>
        <w:t xml:space="preserve">1. Purpose and Scope of This Quotation Estimate</w:t>
      </w:r>
    </w:p>
    <w:p>
      <w:pPr>
        <w:pStyle w:val="BodyText"/>
      </w:pPr>
      <w:r>
        <w:t xml:space="preserve">This Quotation Estimate is issued by Almaty Mathematical Consultancy LLP to provide a comprehensive, itemized financial proposal for the engagement of a senior Mathematician to deliver specialized analytical and computational services within the Kazakhstan Almaty region. The Mathematician will be deployed to support the Astana Scientific Institute in conducting advanced numerical modeling, statistical analysis, and algorithmic design for a twelve-month research program focused on geophysical data interpretation and resource optimization.</w:t>
      </w:r>
    </w:p>
    <w:p>
      <w:pPr>
        <w:pStyle w:val="BodyText"/>
      </w:pPr>
      <w:r>
        <w:t xml:space="preserve">The scope of work outlined in this Quotation Estimate encompasses all professional services, travel within Kazakhstan Almaty and surrounding oblasts, software licensing, and administrative support required to fulfill the project deliverables. All rates quoted reflect current market conditions in Kazakhstan Almaty for qualified mathematical professionals as of June 2025.</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Amount (KZT)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Mathematician – Full-time engagement (PhD in Applied Mathematics, 12+ years experience)</w:t>
            </w:r>
          </w:p>
        </w:tc>
        <w:tc>
          <w:tcPr/>
          <w:p>
            <w:pPr>
              <w:pStyle w:val="Compact"/>
              <w:jc w:val="left"/>
            </w:pPr>
            <w:r>
              <w:t xml:space="preserve">12 months</w:t>
            </w:r>
          </w:p>
        </w:tc>
        <w:tc>
          <w:tcPr/>
          <w:p>
            <w:pPr>
              <w:pStyle w:val="Compact"/>
              <w:jc w:val="left"/>
            </w:pPr>
            <w:r>
              <w:t xml:space="preserve">850,000 / mo</w:t>
            </w:r>
          </w:p>
        </w:tc>
        <w:tc>
          <w:tcPr/>
          <w:p>
            <w:pPr>
              <w:pStyle w:val="Compact"/>
              <w:jc w:val="left"/>
            </w:pPr>
            <w:r>
              <w:t xml:space="preserve">10,200,000</w:t>
            </w:r>
          </w:p>
        </w:tc>
        <w:tc>
          <w:tcPr/>
          <w:p>
            <w:pPr>
              <w:pStyle w:val="Compact"/>
              <w:jc w:val="left"/>
            </w:pPr>
            <w:r>
              <w:t xml:space="preserve">$21,600</w:t>
            </w:r>
          </w:p>
        </w:tc>
      </w:tr>
      <w:tr>
        <w:tc>
          <w:tcPr/>
          <w:p>
            <w:pPr>
              <w:pStyle w:val="Compact"/>
              <w:jc w:val="left"/>
            </w:pPr>
            <w:r>
              <w:t xml:space="preserve">2</w:t>
            </w:r>
          </w:p>
        </w:tc>
        <w:tc>
          <w:tcPr/>
          <w:p>
            <w:pPr>
              <w:pStyle w:val="Compact"/>
              <w:jc w:val="left"/>
            </w:pPr>
            <w:r>
              <w:t xml:space="preserve">Mathematician onboarding, orientation, and integration into Kazakhstan Almaty research team</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$504</w:t>
            </w:r>
          </w:p>
        </w:tc>
      </w:tr>
      <w:tr>
        <w:tc>
          <w:tcPr/>
          <w:p>
            <w:pPr>
              <w:pStyle w:val="Compact"/>
              <w:jc w:val="left"/>
            </w:pPr>
            <w:r>
              <w:t xml:space="preserve">3</w:t>
            </w:r>
          </w:p>
        </w:tc>
        <w:tc>
          <w:tcPr/>
          <w:p>
            <w:pPr>
              <w:pStyle w:val="Compact"/>
              <w:jc w:val="left"/>
            </w:pPr>
            <w:r>
              <w:t xml:space="preserve">Advanced numerical simulation and PDE modeling (geothermal and seismic data)</w:t>
            </w:r>
          </w:p>
        </w:tc>
        <w:tc>
          <w:tcPr/>
          <w:p>
            <w:pPr>
              <w:pStyle w:val="Compact"/>
              <w:jc w:val="left"/>
            </w:pPr>
            <w:r>
              <w:t xml:space="preserve">6 months</w:t>
            </w:r>
          </w:p>
        </w:tc>
        <w:tc>
          <w:tcPr/>
          <w:p>
            <w:pPr>
              <w:pStyle w:val="Compact"/>
              <w:jc w:val="left"/>
            </w:pPr>
            <w:r>
              <w:t xml:space="preserve">45,000 / hr</w:t>
            </w:r>
          </w:p>
        </w:tc>
        <w:tc>
          <w:tcPr/>
          <w:p>
            <w:pPr>
              <w:pStyle w:val="Compact"/>
              <w:jc w:val="left"/>
            </w:pPr>
            <w:r>
              <w:t xml:space="preserve">4,320,000</w:t>
            </w:r>
          </w:p>
        </w:tc>
        <w:tc>
          <w:tcPr/>
          <w:p>
            <w:pPr>
              <w:pStyle w:val="Compact"/>
              <w:jc w:val="left"/>
            </w:pPr>
            <w:r>
              <w:t xml:space="preserve">$9,072</w:t>
            </w:r>
          </w:p>
        </w:tc>
      </w:tr>
      <w:tr>
        <w:tc>
          <w:tcPr/>
          <w:p>
            <w:pPr>
              <w:pStyle w:val="Compact"/>
              <w:jc w:val="left"/>
            </w:pPr>
            <w:r>
              <w:t xml:space="preserve">4</w:t>
            </w:r>
          </w:p>
        </w:tc>
        <w:tc>
          <w:tcPr/>
          <w:p>
            <w:pPr>
              <w:pStyle w:val="Compact"/>
              <w:jc w:val="left"/>
            </w:pPr>
            <w:r>
              <w:t xml:space="preserve">Statistical analysis and Bayesian inference framework development</w:t>
            </w:r>
          </w:p>
        </w:tc>
        <w:tc>
          <w:tcPr/>
          <w:p>
            <w:pPr>
              <w:pStyle w:val="Compact"/>
              <w:jc w:val="left"/>
            </w:pPr>
            <w:r>
              <w:t xml:space="preserve">4 months</w:t>
            </w:r>
          </w:p>
        </w:tc>
        <w:tc>
          <w:tcPr/>
          <w:p>
            <w:pPr>
              <w:pStyle w:val="Compact"/>
              <w:jc w:val="left"/>
            </w:pPr>
            <w:r>
              <w:t xml:space="preserve">40,000 / hr</w:t>
            </w:r>
          </w:p>
        </w:tc>
        <w:tc>
          <w:tcPr/>
          <w:p>
            <w:pPr>
              <w:pStyle w:val="Compact"/>
              <w:jc w:val="left"/>
            </w:pPr>
            <w:r>
              <w:t xml:space="preserve">3,840,000</w:t>
            </w:r>
          </w:p>
        </w:tc>
        <w:tc>
          <w:tcPr/>
          <w:p>
            <w:pPr>
              <w:pStyle w:val="Compact"/>
              <w:jc w:val="left"/>
            </w:pPr>
            <w:r>
              <w:t xml:space="preserve">$8,064</w:t>
            </w:r>
          </w:p>
        </w:tc>
      </w:tr>
      <w:tr>
        <w:tc>
          <w:tcPr/>
          <w:p>
            <w:pPr>
              <w:pStyle w:val="Compact"/>
              <w:jc w:val="left"/>
            </w:pPr>
            <w:r>
              <w:t xml:space="preserve">5</w:t>
            </w:r>
          </w:p>
        </w:tc>
        <w:tc>
          <w:tcPr/>
          <w:p>
            <w:pPr>
              <w:pStyle w:val="Compact"/>
              <w:jc w:val="left"/>
            </w:pPr>
            <w:r>
              <w:t xml:space="preserve">Algorithm design and optimization for resource extraction modeling</w:t>
            </w:r>
          </w:p>
        </w:tc>
        <w:tc>
          <w:tcPr/>
          <w:p>
            <w:pPr>
              <w:pStyle w:val="Compact"/>
              <w:jc w:val="left"/>
            </w:pPr>
            <w:r>
              <w:t xml:space="preserve">3 months</w:t>
            </w:r>
          </w:p>
        </w:tc>
        <w:tc>
          <w:tcPr/>
          <w:p>
            <w:pPr>
              <w:pStyle w:val="Compact"/>
              <w:jc w:val="left"/>
            </w:pPr>
            <w:r>
              <w:t xml:space="preserve">50,000 / hr</w:t>
            </w:r>
          </w:p>
        </w:tc>
        <w:tc>
          <w:tcPr/>
          <w:p>
            <w:pPr>
              <w:pStyle w:val="Compact"/>
              <w:jc w:val="left"/>
            </w:pPr>
            <w:r>
              <w:t xml:space="preserve">2,880,000</w:t>
            </w:r>
          </w:p>
        </w:tc>
        <w:tc>
          <w:tcPr/>
          <w:p>
            <w:pPr>
              <w:pStyle w:val="Compact"/>
              <w:jc w:val="left"/>
            </w:pPr>
            <w:r>
              <w:t xml:space="preserve">$6,048</w:t>
            </w:r>
          </w:p>
        </w:tc>
      </w:tr>
      <w:tr>
        <w:tc>
          <w:tcPr/>
          <w:p>
            <w:pPr>
              <w:pStyle w:val="Compact"/>
              <w:jc w:val="left"/>
            </w:pPr>
            <w:r>
              <w:t xml:space="preserve">6</w:t>
            </w:r>
          </w:p>
        </w:tc>
        <w:tc>
          <w:tcPr/>
          <w:p>
            <w:pPr>
              <w:pStyle w:val="Compact"/>
              <w:jc w:val="left"/>
            </w:pPr>
            <w:r>
              <w:t xml:space="preserve">Peer review, documentation, and technical report writing</w:t>
            </w:r>
          </w:p>
        </w:tc>
        <w:tc>
          <w:tcPr/>
          <w:p>
            <w:pPr>
              <w:pStyle w:val="Compact"/>
              <w:jc w:val="left"/>
            </w:pPr>
            <w:r>
              <w:t xml:space="preserve">Ongoing</w:t>
            </w:r>
          </w:p>
        </w:tc>
        <w:tc>
          <w:tcPr/>
          <w:p>
            <w:pPr>
              <w:pStyle w:val="Compact"/>
              <w:jc w:val="left"/>
            </w:pPr>
            <w:r>
              <w:t xml:space="preserve">35,000 / hr</w:t>
            </w:r>
          </w:p>
        </w:tc>
        <w:tc>
          <w:tcPr/>
          <w:p>
            <w:pPr>
              <w:pStyle w:val="Compact"/>
              <w:jc w:val="left"/>
            </w:pPr>
            <w:r>
              <w:t xml:space="preserve">1,680,000</w:t>
            </w:r>
          </w:p>
        </w:tc>
        <w:tc>
          <w:tcPr/>
          <w:p>
            <w:pPr>
              <w:pStyle w:val="Compact"/>
              <w:jc w:val="left"/>
            </w:pPr>
            <w:r>
              <w:t xml:space="preserve">$3,528</w:t>
            </w:r>
          </w:p>
        </w:tc>
      </w:tr>
      <w:tr>
        <w:tc>
          <w:tcPr/>
          <w:p>
            <w:pPr>
              <w:pStyle w:val="Compact"/>
              <w:jc w:val="left"/>
            </w:pPr>
            <w:r>
              <w:t xml:space="preserve">7</w:t>
            </w:r>
          </w:p>
        </w:tc>
        <w:tc>
          <w:tcPr/>
          <w:p>
            <w:pPr>
              <w:pStyle w:val="Compact"/>
              <w:jc w:val="left"/>
            </w:pPr>
            <w:r>
              <w:t xml:space="preserve">Software licenses (MATLAB, ANSYS, R, Python scientific stack) –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1,200,000</w:t>
            </w:r>
          </w:p>
        </w:tc>
        <w:tc>
          <w:tcPr/>
          <w:p>
            <w:pPr>
              <w:pStyle w:val="Compact"/>
              <w:jc w:val="left"/>
            </w:pPr>
            <w:r>
              <w:t xml:space="preserve">$2,520</w:t>
            </w:r>
          </w:p>
        </w:tc>
      </w:tr>
      <w:tr>
        <w:tc>
          <w:tcPr/>
          <w:p>
            <w:pPr>
              <w:pStyle w:val="Compact"/>
              <w:jc w:val="left"/>
            </w:pPr>
            <w:r>
              <w:t xml:space="preserve">8</w:t>
            </w:r>
          </w:p>
        </w:tc>
        <w:tc>
          <w:tcPr/>
          <w:p>
            <w:pPr>
              <w:pStyle w:val="Compact"/>
              <w:jc w:val="left"/>
            </w:pPr>
            <w:r>
              <w:t xml:space="preserve">Local transportation and fieldwork travel within Kazakhstan Almaty and Almaty Oblast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960,000</w:t>
            </w:r>
          </w:p>
        </w:tc>
        <w:tc>
          <w:tcPr/>
          <w:p>
            <w:pPr>
              <w:pStyle w:val="Compact"/>
              <w:jc w:val="left"/>
            </w:pPr>
            <w:r>
              <w:t xml:space="preserve">$2,016</w:t>
            </w:r>
          </w:p>
        </w:tc>
      </w:tr>
      <w:tr>
        <w:tc>
          <w:tcPr/>
          <w:p>
            <w:pPr>
              <w:pStyle w:val="Compact"/>
              <w:jc w:val="left"/>
            </w:pPr>
            <w:r>
              <w:t xml:space="preserve">9</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2,552,000</w:t>
            </w:r>
          </w:p>
        </w:tc>
        <w:tc>
          <w:tcPr/>
          <w:p>
            <w:pPr>
              <w:pStyle w:val="Compact"/>
              <w:jc w:val="left"/>
            </w:pPr>
            <w:r>
              <w:t xml:space="preserve">$5,359</w:t>
            </w:r>
          </w:p>
        </w:tc>
      </w:tr>
      <w:tr>
        <w:tc>
          <w:tcPr>
            <w:gridSpan w:val="4"/>
          </w:tcPr>
          <w:p>
            <w:pPr>
              <w:pStyle w:val="Compact"/>
              <w:jc w:val="left"/>
            </w:pPr>
            <w:r>
              <w:t xml:space="preserve">TOTAL ESTIMATED COST (before VAT)</w:t>
            </w:r>
          </w:p>
        </w:tc>
        <w:tc>
          <w:tcPr/>
          <w:p>
            <w:pPr>
              <w:pStyle w:val="Compact"/>
              <w:jc w:val="left"/>
            </w:pPr>
            <w:r>
              <w:t xml:space="preserve">27,872,000</w:t>
            </w:r>
          </w:p>
        </w:tc>
        <w:tc>
          <w:tcPr/>
          <w:p>
            <w:pPr>
              <w:pStyle w:val="Compact"/>
              <w:jc w:val="left"/>
            </w:pPr>
            <w:r>
              <w:t xml:space="preserve">$58,311</w:t>
            </w:r>
          </w:p>
        </w:tc>
      </w:tr>
      <w:tr>
        <w:tc>
          <w:tcPr>
            <w:gridSpan w:val="4"/>
          </w:tcPr>
          <w:p>
            <w:pPr>
              <w:pStyle w:val="Compact"/>
              <w:jc w:val="left"/>
            </w:pPr>
            <w:r>
              <w:t xml:space="preserve">VAT (12% – Kazakhstan standard rate)</w:t>
            </w:r>
          </w:p>
        </w:tc>
        <w:tc>
          <w:tcPr/>
          <w:p>
            <w:pPr>
              <w:pStyle w:val="Compact"/>
              <w:jc w:val="left"/>
            </w:pPr>
            <w:r>
              <w:t xml:space="preserve">3,344,640</w:t>
            </w:r>
          </w:p>
        </w:tc>
        <w:tc>
          <w:tcPr/>
          <w:p>
            <w:pPr>
              <w:pStyle w:val="Compact"/>
              <w:jc w:val="left"/>
            </w:pPr>
            <w:r>
              <w:t xml:space="preserve">$7,000</w:t>
            </w:r>
          </w:p>
        </w:tc>
      </w:tr>
      <w:tr>
        <w:tc>
          <w:tcPr>
            <w:gridSpan w:val="4"/>
          </w:tcPr>
          <w:p>
            <w:pPr>
              <w:pStyle w:val="Compact"/>
              <w:jc w:val="left"/>
            </w:pPr>
            <w:r>
              <w:t xml:space="preserve">GRAND TOTAL (VAT inclusive)</w:t>
            </w:r>
          </w:p>
        </w:tc>
        <w:tc>
          <w:tcPr/>
          <w:p>
            <w:pPr>
              <w:pStyle w:val="Compact"/>
              <w:jc w:val="left"/>
            </w:pPr>
            <w:r>
              <w:t xml:space="preserve">31,216,640</w:t>
            </w:r>
          </w:p>
        </w:tc>
        <w:tc>
          <w:tcPr/>
          <w:p>
            <w:pPr>
              <w:pStyle w:val="Compact"/>
              <w:jc w:val="left"/>
            </w:pPr>
            <w:r>
              <w:t xml:space="preserve">$65,311</w:t>
            </w:r>
          </w:p>
        </w:tc>
      </w:tr>
    </w:tbl>
    <w:p>
      <w:pPr>
        <w:pStyle w:val="BodyText"/>
      </w:pPr>
      <w:r>
        <w:t xml:space="preserve">3. Mathematician Qualifications and Deployment</w:t>
      </w:r>
    </w:p>
    <w:p>
      <w:pPr>
        <w:pStyle w:val="BodyText"/>
      </w:pPr>
      <w:r>
        <w:t xml:space="preserve">The Mathematician proposed under this Quotation Estimate holds a Doctor of Philosophy (PhD) in Applied Mathematics from a recognized international institution, with a minimum of twelve years of professional experience in numerical analysis, differential equations, and computational statistics. The candidate will be based in Kazakhstan Almaty for the full contract duration, working primarily at the Almaty Technopark facility with periodic field visits to geological survey sites in the Almaty and Almaty Oblast regions.</w:t>
      </w:r>
    </w:p>
    <w:p>
      <w:pPr>
        <w:pStyle w:val="BodyText"/>
      </w:pPr>
      <w:r>
        <w:t xml:space="preserve">The Mathematician will report directly to the Chief Research Officer and will collaborate with a multidisciplinary team of geophysicists, data engineers, and environmental scientists. All intellectual property generated during the engagement will be jointly owned by the client and Almaty Mathematical Consultancy LLP, as stipulated in the master service agreement.</w:t>
      </w:r>
    </w:p>
    <w:p>
      <w:pPr>
        <w:pStyle w:val="BodyText"/>
      </w:pPr>
      <w:r>
        <w:t xml:space="preserve">4. Payment Schedule</w:t>
      </w:r>
    </w:p>
    <w:p>
      <w:pPr>
        <w:pStyle w:val="BodyText"/>
      </w:pPr>
      <w:r>
        <w:t xml:space="preserve">Payment terms for this Quotation Estimate are structured as follows:</w:t>
      </w:r>
    </w:p>
    <w:p>
      <w:pPr>
        <w:numPr>
          <w:ilvl w:val="0"/>
          <w:numId w:val="1001"/>
        </w:numPr>
        <w:pStyle w:val="Compact"/>
      </w:pPr>
      <w:r>
        <w:rPr>
          <w:bCs/>
          <w:b/>
        </w:rPr>
        <w:t xml:space="preserve">Advance Payment (30%):</w:t>
      </w:r>
      <w:r>
        <w:t xml:space="preserve"> </w:t>
      </w:r>
      <w:r>
        <w:t xml:space="preserve">KZT 9,364,992 (USD $19,593) – due within 10 business days of contract signing.</w:t>
      </w:r>
    </w:p>
    <w:p>
      <w:pPr>
        <w:numPr>
          <w:ilvl w:val="0"/>
          <w:numId w:val="1001"/>
        </w:numPr>
        <w:pStyle w:val="Compact"/>
      </w:pPr>
      <w:r>
        <w:rPr>
          <w:bCs/>
          <w:b/>
        </w:rPr>
        <w:t xml:space="preserve">Milestone Payment 1 (25%):</w:t>
      </w:r>
      <w:r>
        <w:t xml:space="preserve"> </w:t>
      </w:r>
      <w:r>
        <w:t xml:space="preserve">KZT 7,804,160 (USD $16,328) – due upon completion of the numerical simulation phase (Month 6).</w:t>
      </w:r>
    </w:p>
    <w:p>
      <w:pPr>
        <w:numPr>
          <w:ilvl w:val="0"/>
          <w:numId w:val="1001"/>
        </w:numPr>
        <w:pStyle w:val="Compact"/>
      </w:pPr>
      <w:r>
        <w:rPr>
          <w:bCs/>
          <w:b/>
        </w:rPr>
        <w:t xml:space="preserve">Milestone Payment 2 (25%):</w:t>
      </w:r>
      <w:r>
        <w:t xml:space="preserve"> </w:t>
      </w:r>
      <w:r>
        <w:t xml:space="preserve">KZT 7,804,160 (USD $16,328) – due upon delivery of the statistical analysis framework (Month 9).</w:t>
      </w:r>
    </w:p>
    <w:p>
      <w:pPr>
        <w:numPr>
          <w:ilvl w:val="0"/>
          <w:numId w:val="1001"/>
        </w:numPr>
        <w:pStyle w:val="Compact"/>
      </w:pPr>
      <w:r>
        <w:rPr>
          <w:bCs/>
          <w:b/>
        </w:rPr>
        <w:t xml:space="preserve">Final Payment (20%):</w:t>
      </w:r>
      <w:r>
        <w:t xml:space="preserve"> </w:t>
      </w:r>
      <w:r>
        <w:t xml:space="preserve">KZT 6,243,328 (USD $13,062) – due upon project closeout and final report acceptance (Month 12).</w:t>
      </w:r>
    </w:p>
    <w:p>
      <w:pPr>
        <w:pStyle w:val="FirstParagraph"/>
      </w:pPr>
      <w:r>
        <w:t xml:space="preserve">All payments shall be made via bank transfer to the account of Almaty Mathematical Consultancy LLP at Jusan Bank, Almaty branch. Late payments will incur a penalty of 0.5% per calendar day as per Kazakhstan commercial law.</w:t>
      </w:r>
    </w:p>
    <w:p>
      <w:pPr>
        <w:pStyle w:val="BodyText"/>
      </w:pPr>
      <w:r>
        <w:t xml:space="preserve">5. Terms and Conditions</w:t>
      </w:r>
    </w:p>
    <w:p>
      <w:pPr>
        <w:numPr>
          <w:ilvl w:val="0"/>
          <w:numId w:val="1002"/>
        </w:numPr>
        <w:pStyle w:val="Compact"/>
      </w:pPr>
      <w:r>
        <w:t xml:space="preserve">This Quotation Estimate is valid for thirty (30) calendar days from the date of issue. After the expiry date, all rates are subject to revision based on prevailing market conditions in Kazakhstan Almaty.</w:t>
      </w:r>
    </w:p>
    <w:p>
      <w:pPr>
        <w:numPr>
          <w:ilvl w:val="0"/>
          <w:numId w:val="1002"/>
        </w:numPr>
        <w:pStyle w:val="Compact"/>
      </w:pPr>
      <w:r>
        <w:t xml:space="preserve">The Mathematician's engagement is governed by the Labor Code of the Republic of Kazakhstan. Social security contributions, pension fund payments (HPP), and mandatory medical insurance (DSS) are included in the quoted rates.</w:t>
      </w:r>
    </w:p>
    <w:p>
      <w:pPr>
        <w:numPr>
          <w:ilvl w:val="0"/>
          <w:numId w:val="1002"/>
        </w:numPr>
        <w:pStyle w:val="Compact"/>
      </w:pPr>
      <w:r>
        <w:t xml:space="preserve">Any change in scope exceeding 10% of the original work volume will require a formal amendment to this Quotation Estimate, signed by both parties.</w:t>
      </w:r>
    </w:p>
    <w:p>
      <w:pPr>
        <w:numPr>
          <w:ilvl w:val="0"/>
          <w:numId w:val="1002"/>
        </w:numPr>
        <w:pStyle w:val="Compact"/>
      </w:pPr>
      <w:r>
        <w:t xml:space="preserve">Confidentiality obligations survive for a period of three (3) years following project completion, in accordance with Kazakhstan's Law on Commercial Secrets.</w:t>
      </w:r>
    </w:p>
    <w:p>
      <w:pPr>
        <w:numPr>
          <w:ilvl w:val="0"/>
          <w:numId w:val="1002"/>
        </w:numPr>
        <w:pStyle w:val="Compact"/>
      </w:pPr>
      <w:r>
        <w:t xml:space="preserve">Disputes arising from this Quotation Estimate shall be resolved through arbitration at the Almaty International Arbitration Center, with proceedings conducted in English or Russian.</w:t>
      </w:r>
    </w:p>
    <w:p>
      <w:pPr>
        <w:numPr>
          <w:ilvl w:val="0"/>
          <w:numId w:val="1002"/>
        </w:numPr>
        <w:pStyle w:val="Compact"/>
      </w:pPr>
      <w:r>
        <w:t xml:space="preserve">The client reserves the right to terminate the engagement with thirty (30) days' written notice. In such case, all work completed to date shall be invoiced at the rates specified in this Quotation Estimate.</w:t>
      </w:r>
    </w:p>
    <w:p>
      <w:pPr>
        <w:pStyle w:val="FirstParagraph"/>
      </w:pPr>
      <w:r>
        <w:rPr>
          <w:bCs/>
          <w:b/>
        </w:rPr>
        <w:t xml:space="preserve">Note:</w:t>
      </w:r>
      <w:r>
        <w:t xml:space="preserve"> </w:t>
      </w:r>
      <w:r>
        <w:t xml:space="preserve">This Quotation Estimate does not constitute a binding contract. It serves as a financial proposal for the client's review and approval. A formal Service Agreement, incorporating all terms herein, must be executed by both parties before the Mathematician commences work in Kazakhstan Almaty.</w:t>
      </w:r>
    </w:p>
    <w:p>
      <w:pPr>
        <w:pStyle w:val="BodyText"/>
      </w:pPr>
      <w:r>
        <w:t xml:space="preserve">6. Acceptance and Authorization</w:t>
      </w:r>
    </w:p>
    <w:p>
      <w:pPr>
        <w:pStyle w:val="BodyText"/>
      </w:pPr>
      <w:r>
        <w:t xml:space="preserve">By signing below, the client acknowledges receipt of this Quotation Estimate and agrees to the terms, rates, and conditions outlined above for the engagement of the Mathematician in Kazakhstan Almaty.</w:t>
      </w:r>
    </w:p>
    <w:p>
      <w:pPr>
        <w:pStyle w:val="BodyText"/>
      </w:pPr>
      <w:r>
        <w:rPr>
          <w:bCs/>
          <w:b/>
        </w:rPr>
        <w:t xml:space="preserve">For Almaty Mathematical Consultancy LLP</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the Client (Astana Scientific Institute)</w:t>
      </w:r>
      <w:r>
        <w:br/>
      </w:r>
      <w:r>
        <w:br/>
      </w:r>
      <w:r>
        <w:t xml:space="preserve">Name: ______________________________</w:t>
      </w:r>
      <w:r>
        <w:br/>
      </w:r>
      <w:r>
        <w:t xml:space="preserve">Title: Chief Research Officer</w:t>
      </w:r>
      <w:r>
        <w:br/>
      </w:r>
      <w:r>
        <w:t xml:space="preserve">Signature: ______________________________</w:t>
      </w:r>
      <w:r>
        <w:br/>
      </w:r>
      <w:r>
        <w:t xml:space="preserve">Date: ______________________________</w:t>
      </w:r>
      <w:r>
        <w:br/>
      </w:r>
      <w:r>
        <w:t xml:space="preserve">Company Stamp:</w:t>
      </w:r>
    </w:p>
    <w:p>
      <w:pPr>
        <w:pStyle w:val="BodyText"/>
      </w:pPr>
      <w:r>
        <w:t xml:space="preserve">— End of Quotation Estimate QTE-2025-KZ-0487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Kazakhstan Almaty</dc:title>
  <dc:creator/>
  <dc:language>en</dc:language>
  <cp:keywords/>
  <dcterms:created xsi:type="dcterms:W3CDTF">2026-10-10T01:55:43Z</dcterms:created>
  <dcterms:modified xsi:type="dcterms:W3CDTF">2026-10-10T01:55:43Z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