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Mathematician Consulting &amp; Advisory Services</w:t>
      </w:r>
    </w:p>
    <w:p>
      <w:pPr>
        <w:pStyle w:val="BodyText"/>
      </w:pPr>
      <w:r>
        <w:t xml:space="preserve">Al-Salem Tower, 14th Floor, Al-Salem Street, Kuwait City, State of Kuwait</w:t>
      </w:r>
    </w:p>
    <w:p>
      <w:pPr>
        <w:pStyle w:val="BodyText"/>
      </w:pPr>
      <w:r>
        <w:t xml:space="preserve">Tel: +965-2244-7890 | Email: estimates@kuwaitmathconsult.kw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QTE-KWC-2025-0472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Kuwait National Research Institute</w:t>
      </w:r>
      <w:r>
        <w:br/>
      </w:r>
      <w:r>
        <w:t xml:space="preserve">P.O. Box 3821, Safat 13001</w:t>
      </w:r>
      <w:r>
        <w:br/>
      </w:r>
      <w:r>
        <w:t xml:space="preserve">Kuwait City, State of Kuwait</w:t>
      </w:r>
    </w:p>
    <w:bookmarkStart w:id="21" w:name="introduction-and-scope-of-services"/>
    <w:p>
      <w:pPr>
        <w:pStyle w:val="Heading2"/>
      </w:pPr>
      <w:r>
        <w:t xml:space="preserve">1. Introduction and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Kuwait Mathematical Advisory Group (KMA Group) to provide comprehensive professional services rendered by a senior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specializing in applied mathematics, statistical modeling, and computational analysis. The services described herein are specifically tailored for deployment and execution within</w:t>
      </w:r>
      <w:r>
        <w:t xml:space="preserve"> </w:t>
      </w:r>
      <w:r>
        <w:t xml:space="preserve">Kuwait, Kuwait City</w:t>
      </w:r>
      <w:r>
        <w:t xml:space="preserve">, in accordance with the regulatory framework established by the State of Kuwait's Ministry of Finance and the Kuwait Development Board.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holds a Doctorate in Applied Mathematics from a recognized international institution and possesses over fifteen years of professional experience in quantitative analysis, optimization theory, and data-driven decision modeling. The scope of work encompasses on-site consulting at the client's premises in Kuwait City, remote analytical support, and the delivery of comprehensive mathematical reports and technical documentation.</w:t>
      </w:r>
    </w:p>
    <w:bookmarkEnd w:id="21"/>
    <w:bookmarkStart w:id="22" w:name="itemized-services-and-cost-breakdown"/>
    <w:p>
      <w:pPr>
        <w:pStyle w:val="Heading2"/>
      </w:pPr>
      <w:r>
        <w:t xml:space="preserve">2. Itemized Services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Mathematician consulting at client offices, Kuwait City – initial needs assessment and project scoping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mathematical models for financial risk assessment and portfolio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Statistical analysis and computational simulation of operational data 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technical mathematical reports, documentation, and executive summaries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workshop for client staff on mathematical modeling principles (conducted in Kuwait 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(8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advisory support and revision of mathematical frameworks (post-delivery)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transportation within Kuwait City and surrounding areas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28,900.000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(5% – State of Kuwait)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1,445.000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30,345.000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requires written reconfirmation from KMA Group.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by the designated</w:t>
      </w:r>
      <w:r>
        <w:t xml:space="preserve"> </w:t>
      </w:r>
      <w:r>
        <w:t xml:space="preserve">Mathematician</w:t>
      </w:r>
      <w:r>
        <w:t xml:space="preserve"> </w:t>
      </w:r>
      <w:r>
        <w:t xml:space="preserve">or, in the event of unavoidable absence, by a substitute of equivalent or superior academic and professional standing, subject to prior written approval by the client.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 Quotation Estimate, 40% upon delivery of the primary mathematical models and reports, and 20% upon completion of the post-delivery advisory period.</w:t>
      </w:r>
    </w:p>
    <w:p>
      <w:pPr>
        <w:numPr>
          <w:ilvl w:val="0"/>
          <w:numId w:val="1001"/>
        </w:numPr>
        <w:pStyle w:val="Compact"/>
      </w:pPr>
      <w:r>
        <w:t xml:space="preserve">All work shall be conducted in compliance with the laws and regulations of the State of Kuwait, including data protection provisions applicable to Kuwait City-based entities.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maintain strict confidentiality regarding all proprietary data, financial information, and internal processes of the client. A Non-Disclosure Agreement (NDA) shall be executed prior to the commencement of any on-site work in Kuwait City.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work, additional deliverables, or extended timelines must be documented through a formal Change Order signed by both parties. No additional charges shall apply without prior written authorization.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in all mathematical models, algorithms, and reports developed specifically for the client under this Quotation Estimate shall vest in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Quotation Estimate shall be resolved through arbitration in Kuwait City in accordance with the Kuwait Arbitration Law.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binding contract until formally accepted in writing by both parties and countersigned by authorized representatives.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and associated services in</w:t>
      </w:r>
      <w:r>
        <w:t xml:space="preserve"> </w:t>
      </w:r>
      <w:r>
        <w:t xml:space="preserve">Kuwait, Kuwait City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KMA Group (Service Provider)</w:t>
      </w:r>
      <w:r>
        <w:br/>
      </w:r>
      <w:r>
        <w:t xml:space="preserve">Name: Dr. Ahmed Al-Rashidi</w:t>
      </w:r>
      <w:r>
        <w:br/>
      </w:r>
      <w:r>
        <w:t xml:space="preserve">Title: Lead Mathematician &amp;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(Kuwait National Research Institute)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No. QTE-KWC-2025-0472 | Kuwait Mathematical Advisory Group | Kuwait City, State of Kuwait</w:t>
      </w:r>
    </w:p>
    <w:p>
      <w:pPr>
        <w:pStyle w:val="BodyText"/>
      </w:pPr>
      <w:r>
        <w:t xml:space="preserve">This document is the property of KMA Group. Unauthorized reproduction or distribution is prohibited under Kuwaiti law.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Mathematician Services - Kuwait Kuwait City</dc:title>
  <dc:creator/>
  <dc:language>en</dc:language>
  <cp:keywords/>
  <dcterms:created xsi:type="dcterms:W3CDTF">2026-10-10T05:06:15Z</dcterms:created>
  <dcterms:modified xsi:type="dcterms:W3CDTF">2026-10-10T05:06:15Z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