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Quotation</w:t>
      </w:r>
      <w:r>
        <w:t xml:space="preserve"> </w:t>
      </w:r>
      <w:r>
        <w:t xml:space="preserve">Estimate</w:t>
      </w:r>
      <w:r>
        <w:t xml:space="preserve"> </w:t>
      </w:r>
      <w:r>
        <w:t xml:space="preserve">-</w:t>
      </w:r>
      <w:r>
        <w:t xml:space="preserve"> </w:t>
      </w:r>
      <w:r>
        <w:t xml:space="preserve">Mathematician</w:t>
      </w:r>
      <w:r>
        <w:t xml:space="preserve"> </w:t>
      </w:r>
      <w:r>
        <w:t xml:space="preserve">Services</w:t>
      </w:r>
      <w:r>
        <w:t xml:space="preserve"> </w:t>
      </w:r>
      <w:r>
        <w:t xml:space="preserve">-</w:t>
      </w:r>
      <w:r>
        <w:t xml:space="preserve"> </w:t>
      </w:r>
      <w:r>
        <w:t xml:space="preserve">Malaysia</w:t>
      </w:r>
      <w:r>
        <w:t xml:space="preserve"> </w:t>
      </w:r>
      <w:r>
        <w:t xml:space="preserve">Kuala</w:t>
      </w:r>
      <w:r>
        <w:t xml:space="preserve"> </w:t>
      </w:r>
      <w:r>
        <w:t xml:space="preserve">Lumpur</w:t>
      </w:r>
    </w:p>
    <w:bookmarkStart w:id="20" w:name="quotation-estimate"/>
    <w:p>
      <w:pPr>
        <w:pStyle w:val="Heading1"/>
      </w:pPr>
      <w:r>
        <w:t xml:space="preserve">Quotation Estimate</w:t>
      </w:r>
    </w:p>
    <w:p>
      <w:pPr>
        <w:pStyle w:val="FirstParagraph"/>
      </w:pPr>
      <w:r>
        <w:rPr>
          <w:bCs/>
          <w:b/>
        </w:rPr>
        <w:t xml:space="preserve">Apex Mathematical Consulting Sdn. Bhd.</w:t>
      </w:r>
    </w:p>
    <w:p>
      <w:pPr>
        <w:pStyle w:val="BodyText"/>
      </w:pPr>
      <w:r>
        <w:t xml:space="preserve">Level 24, Menara Maxis, Jalan Tun Razak, 50400</w:t>
      </w:r>
      <w:r>
        <w:t xml:space="preserve"> </w:t>
      </w:r>
      <w:r>
        <w:t xml:space="preserve">Malaysia Kuala Lumpur</w:t>
      </w:r>
    </w:p>
    <w:p>
      <w:pPr>
        <w:pStyle w:val="BodyText"/>
      </w:pPr>
      <w:r>
        <w:t xml:space="preserve">Tel: +603-2161 8800 | Email: quotations@apexmathconsulting.my</w:t>
      </w:r>
    </w:p>
    <w:p>
      <w:pPr>
        <w:pStyle w:val="BodyText"/>
      </w:pPr>
      <w:r>
        <w:t xml:space="preserve">Registration No: 201901045678 (K) | SST Reg: 001901234567</w:t>
      </w:r>
    </w:p>
    <w:bookmarkEnd w:id="20"/>
    <w:p>
      <w:pPr>
        <w:pStyle w:val="BodyText"/>
      </w:pPr>
      <w:r>
        <w:rPr>
          <w:bCs/>
          <w:b/>
        </w:rPr>
        <w:t xml:space="preserve">Quotation No:</w:t>
      </w:r>
      <w:r>
        <w:t xml:space="preserve"> </w:t>
      </w:r>
      <w:r>
        <w:t xml:space="preserve">QTE-ML-2025-0487</w:t>
      </w:r>
      <w:r>
        <w:br/>
      </w:r>
      <w:r>
        <w:rPr>
          <w:bCs/>
          <w:b/>
        </w:rPr>
        <w:t xml:space="preserve">Date Issued:</w:t>
      </w:r>
      <w:r>
        <w:t xml:space="preserve"> </w:t>
      </w:r>
      <w:r>
        <w:t xml:space="preserve">15 June 2025</w:t>
      </w:r>
      <w:r>
        <w:br/>
      </w:r>
      <w:r>
        <w:rPr>
          <w:bCs/>
          <w:b/>
        </w:rPr>
        <w:t xml:space="preserve">Valid Until:</w:t>
      </w:r>
      <w:r>
        <w:t xml:space="preserve"> </w:t>
      </w:r>
      <w:r>
        <w:t xml:space="preserve">15 July 2025</w:t>
      </w:r>
    </w:p>
    <w:p>
      <w:pPr>
        <w:pStyle w:val="BodyText"/>
      </w:pPr>
      <w:r>
        <w:rPr>
          <w:bCs/>
          <w:b/>
        </w:rPr>
        <w:t xml:space="preserve">Prepared For:</w:t>
      </w:r>
      <w:r>
        <w:br/>
      </w:r>
      <w:r>
        <w:rPr>
          <w:bCs/>
          <w:b/>
        </w:rPr>
        <w:t xml:space="preserve">Client Name:</w:t>
      </w:r>
      <w:r>
        <w:t xml:space="preserve"> </w:t>
      </w:r>
      <w:r>
        <w:t xml:space="preserve">[Client Company Name]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[Client Address],</w:t>
      </w:r>
      <w:r>
        <w:t xml:space="preserve"> </w:t>
      </w:r>
      <w:r>
        <w:t xml:space="preserve">Malaysia Kuala Lumpur</w:t>
      </w:r>
      <w:r>
        <w:br/>
      </w:r>
      <w:r>
        <w:rPr>
          <w:bCs/>
          <w:b/>
        </w:rPr>
        <w:t xml:space="preserve">Attn:</w:t>
      </w:r>
      <w:r>
        <w:t xml:space="preserve"> </w:t>
      </w:r>
      <w:r>
        <w:t xml:space="preserve">[Contact Person]</w:t>
      </w:r>
    </w:p>
    <w:bookmarkStart w:id="21" w:name="Xaf4d0d602a3272d04692e8eba4ecf3281db41a3"/>
    <w:p>
      <w:pPr>
        <w:pStyle w:val="Heading2"/>
      </w:pPr>
      <w:r>
        <w:t xml:space="preserve">1. Scope of Services – Mathematician Engagement</w:t>
      </w:r>
    </w:p>
    <w:p>
      <w:pPr>
        <w:pStyle w:val="FirstParagraph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issued by Apex Mathematical Consulting Sdn. Bhd. to provide comprehensive professional services rendered by a senior</w:t>
      </w:r>
      <w:r>
        <w:t xml:space="preserve"> </w:t>
      </w:r>
      <w:r>
        <w:t xml:space="preserve">Mathematician</w:t>
      </w:r>
      <w:r>
        <w:t xml:space="preserve"> </w:t>
      </w:r>
      <w:r>
        <w:t xml:space="preserve">for the client's operational and research requirements in</w:t>
      </w:r>
      <w:r>
        <w:t xml:space="preserve"> </w:t>
      </w:r>
      <w:r>
        <w:t xml:space="preserve">Malaysia Kuala Lumpur</w:t>
      </w:r>
      <w:r>
        <w:t xml:space="preserve">. The engagement covers advanced mathematical modelling, statistical analysis, algorithmic design, and quantitative research support tailored to the client's industry-specific needs.</w:t>
      </w:r>
    </w:p>
    <w:p>
      <w:pPr>
        <w:pStyle w:val="BodyText"/>
      </w:pPr>
      <w:r>
        <w:t xml:space="preserve">The</w:t>
      </w:r>
      <w:r>
        <w:t xml:space="preserve"> </w:t>
      </w:r>
      <w:r>
        <w:t xml:space="preserve">Mathematician</w:t>
      </w:r>
      <w:r>
        <w:t xml:space="preserve"> </w:t>
      </w:r>
      <w:r>
        <w:t xml:space="preserve">assigned to this project holds a Doctorate in Applied Mathematics from a recognised international institution and possesses over fifteen (15) years of professional experience in quantitative analysis, computational mathematics, and data-driven decision modelling. The services will be delivered primarily at the client's premises in</w:t>
      </w:r>
      <w:r>
        <w:t xml:space="preserve"> </w:t>
      </w:r>
      <w:r>
        <w:t xml:space="preserve">Malaysia Kuala Lumpur</w:t>
      </w:r>
      <w:r>
        <w:t xml:space="preserve">, with the option of remote collaboration as mutually agreed upon.</w:t>
      </w:r>
    </w:p>
    <w:bookmarkEnd w:id="21"/>
    <w:bookmarkStart w:id="22" w:name="itemised-cost-breakdown"/>
    <w:p>
      <w:pPr>
        <w:pStyle w:val="Heading2"/>
      </w:pPr>
      <w:r>
        <w:t xml:space="preserve">2. Itemised Cost Breakdown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No.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Service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Duration / Qty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Rate (MYR)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Amount (MYR)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Senior</w:t>
            </w:r>
            <w:r>
              <w:t xml:space="preserve"> </w:t>
            </w:r>
            <w:r>
              <w:t xml:space="preserve">Mathematician</w:t>
            </w:r>
            <w:r>
              <w:t xml:space="preserve"> </w:t>
            </w:r>
            <w:r>
              <w:t xml:space="preserve">– Advanced Mathematical Modelling &amp; Simulation (on-site in</w:t>
            </w:r>
            <w:r>
              <w:t xml:space="preserve"> </w:t>
            </w:r>
            <w:r>
              <w:t xml:space="preserve">Malaysia Kuala Lumpur</w:t>
            </w:r>
            <w:r>
              <w:t xml:space="preserve">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120 hours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RM 450.00/hr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RM 54,000.00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Statistical Analysis &amp; Predictive Analytics –</w:t>
            </w:r>
            <w:r>
              <w:t xml:space="preserve"> </w:t>
            </w:r>
            <w:r>
              <w:t xml:space="preserve">Mathematician</w:t>
            </w:r>
            <w:r>
              <w:t xml:space="preserve"> </w:t>
            </w:r>
            <w:r>
              <w:t xml:space="preserve">consultation and report preparation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40 hours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RM 450.00/hr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RM 18,000.00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Algorithm Design &amp; Computational Optimisation –</w:t>
            </w:r>
            <w:r>
              <w:t xml:space="preserve"> </w:t>
            </w:r>
            <w:r>
              <w:t xml:space="preserve">Mathematician</w:t>
            </w:r>
            <w:r>
              <w:t xml:space="preserve"> </w:t>
            </w:r>
            <w:r>
              <w:t xml:space="preserve">development and code review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80 hours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RM 450.00/hr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RM 36,000.00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Technical Documentation &amp; Methodology White Paper –</w:t>
            </w:r>
            <w:r>
              <w:t xml:space="preserve"> </w:t>
            </w:r>
            <w:r>
              <w:t xml:space="preserve">Mathematician</w:t>
            </w:r>
            <w:r>
              <w:t xml:space="preserve"> </w:t>
            </w:r>
            <w:r>
              <w:t xml:space="preserve">authored deliverables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package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RM 8,500.00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RM 8,500.00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On-site Travel &amp; Accommodation within</w:t>
            </w:r>
            <w:r>
              <w:t xml:space="preserve"> </w:t>
            </w:r>
            <w:r>
              <w:t xml:space="preserve">Malaysia Kuala Lumpur</w:t>
            </w:r>
            <w:r>
              <w:t xml:space="preserve"> </w:t>
            </w:r>
            <w:r>
              <w:t xml:space="preserve">metropolitan area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 days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RM 350.00/day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RM 4,200.00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Project Management &amp; Coordination (dedicated</w:t>
            </w:r>
            <w:r>
              <w:t xml:space="preserve"> </w:t>
            </w:r>
            <w:r>
              <w:t xml:space="preserve">Mathematician</w:t>
            </w:r>
            <w:r>
              <w:t xml:space="preserve"> </w:t>
            </w:r>
            <w:r>
              <w:t xml:space="preserve">team lead oversight)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 months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RM 5,000.00/mo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RM 15,000.00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Post-Engagement Support &amp; Knowledge Transfer Sessions in</w:t>
            </w:r>
            <w:r>
              <w:t xml:space="preserve"> </w:t>
            </w:r>
            <w:r>
              <w:t xml:space="preserve">Malaysia Kuala Lumpur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 sessions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RM 2,500.00/session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RM 7,500.00</w:t>
            </w:r>
          </w:p>
        </w:tc>
      </w:tr>
      <w:tr>
        <w:tc>
          <w:tcPr>
            <w:gridSpan w:val="4"/>
          </w:tcPr>
          <w:p>
            <w:pPr>
              <w:pStyle w:val="Compact"/>
              <w:jc w:val="right"/>
            </w:pPr>
            <w:r>
              <w:t xml:space="preserve">Subtotal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RM 143,200.00</w:t>
            </w:r>
          </w:p>
        </w:tc>
      </w:tr>
      <w:tr>
        <w:tc>
          <w:tcPr>
            <w:gridSpan w:val="4"/>
          </w:tcPr>
          <w:p>
            <w:pPr>
              <w:pStyle w:val="Compact"/>
              <w:jc w:val="right"/>
            </w:pPr>
            <w:r>
              <w:t xml:space="preserve">SST (8%)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RM 11,456.00</w:t>
            </w:r>
          </w:p>
        </w:tc>
      </w:tr>
      <w:tr>
        <w:tc>
          <w:tcPr>
            <w:gridSpan w:val="4"/>
          </w:tcPr>
          <w:p>
            <w:pPr>
              <w:pStyle w:val="Compact"/>
              <w:jc w:val="right"/>
            </w:pPr>
            <w:r>
              <w:t xml:space="preserve">TOTAL AMOUNT DUE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RM 154,656.00</w:t>
            </w:r>
          </w:p>
        </w:tc>
      </w:tr>
    </w:tbl>
    <w:bookmarkEnd w:id="22"/>
    <w:bookmarkStart w:id="23" w:name="payment-terms"/>
    <w:p>
      <w:pPr>
        <w:pStyle w:val="Heading2"/>
      </w:pPr>
      <w:r>
        <w:t xml:space="preserve">3. Payment Terms</w:t>
      </w:r>
    </w:p>
    <w:p>
      <w:pPr>
        <w:pStyle w:val="FirstParagraph"/>
      </w:pPr>
      <w:r>
        <w:t xml:space="preserve">Payment for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shall be made in three (3) instalments as follows: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30% Advance Payment</w:t>
      </w:r>
      <w:r>
        <w:t xml:space="preserve"> </w:t>
      </w:r>
      <w:r>
        <w:t xml:space="preserve">(RM 46,396.80) – Due upon signed acceptance of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and prior to commencement of the</w:t>
      </w:r>
      <w:r>
        <w:t xml:space="preserve"> </w:t>
      </w:r>
      <w:r>
        <w:t xml:space="preserve">Mathematician</w:t>
      </w:r>
      <w:r>
        <w:t xml:space="preserve">'s engagement.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40% Progress Payment</w:t>
      </w:r>
      <w:r>
        <w:t xml:space="preserve"> </w:t>
      </w:r>
      <w:r>
        <w:t xml:space="preserve">(RM 61,862.40) – Due upon completion of the mid-project deliverables, including the preliminary mathematical models and statistical reports.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30% Final Payment</w:t>
      </w:r>
      <w:r>
        <w:t xml:space="preserve"> </w:t>
      </w:r>
      <w:r>
        <w:t xml:space="preserve">(RM 46,396.80) – Due upon final acceptance of all deliverables and completion of knowledge transfer sessions in</w:t>
      </w:r>
      <w:r>
        <w:t xml:space="preserve"> </w:t>
      </w:r>
      <w:r>
        <w:t xml:space="preserve">Malaysia Kuala Lumpur</w:t>
      </w:r>
      <w:r>
        <w:t xml:space="preserve">.</w:t>
      </w:r>
    </w:p>
    <w:p>
      <w:pPr>
        <w:pStyle w:val="FirstParagraph"/>
      </w:pPr>
      <w:r>
        <w:t xml:space="preserve">All payments shall be made via bank transfer to the account of Apex Mathematical Consulting Sdn. Bhd. at Maybank, Account No. 5123-4567-8901,</w:t>
      </w:r>
      <w:r>
        <w:t xml:space="preserve"> </w:t>
      </w:r>
      <w:r>
        <w:t xml:space="preserve">Malaysia Kuala Lumpur</w:t>
      </w:r>
      <w:r>
        <w:t xml:space="preserve">. Invoices will be issued in accordance with the Inland Revenue Board of Malaysia (LHDN) guidelines.</w:t>
      </w:r>
    </w:p>
    <w:bookmarkEnd w:id="23"/>
    <w:bookmarkStart w:id="24" w:name="terms-and-conditions"/>
    <w:p>
      <w:pPr>
        <w:pStyle w:val="Heading2"/>
      </w:pPr>
      <w:r>
        <w:t xml:space="preserve">4. Terms and Conditions</w:t>
      </w:r>
    </w:p>
    <w:p>
      <w:pPr>
        <w:numPr>
          <w:ilvl w:val="0"/>
          <w:numId w:val="1002"/>
        </w:numPr>
        <w:pStyle w:val="Compact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valid for thirty (30) calendar days from the date of issue. Beyond this period, rates and availability of the</w:t>
      </w:r>
      <w:r>
        <w:t xml:space="preserve"> </w:t>
      </w:r>
      <w:r>
        <w:t xml:space="preserve">Mathematician</w:t>
      </w:r>
      <w:r>
        <w:t xml:space="preserve"> </w:t>
      </w:r>
      <w:r>
        <w:t xml:space="preserve">may be subject to revision.</w:t>
      </w:r>
    </w:p>
    <w:p>
      <w:pPr>
        <w:numPr>
          <w:ilvl w:val="0"/>
          <w:numId w:val="1002"/>
        </w:numPr>
        <w:pStyle w:val="Compact"/>
      </w:pPr>
      <w:r>
        <w:t xml:space="preserve">All intellectual property, mathematical models, algorithms, and documentation produced by the</w:t>
      </w:r>
      <w:r>
        <w:t xml:space="preserve"> </w:t>
      </w:r>
      <w:r>
        <w:t xml:space="preserve">Mathematician</w:t>
      </w:r>
      <w:r>
        <w:t xml:space="preserve"> </w:t>
      </w:r>
      <w:r>
        <w:t xml:space="preserve">under this engagement shall become the sole property of the client upon full and final payment.</w:t>
      </w:r>
    </w:p>
    <w:p>
      <w:pPr>
        <w:numPr>
          <w:ilvl w:val="0"/>
          <w:numId w:val="1002"/>
        </w:numPr>
        <w:pStyle w:val="Compact"/>
      </w:pPr>
      <w:r>
        <w:t xml:space="preserve">The</w:t>
      </w:r>
      <w:r>
        <w:t xml:space="preserve"> </w:t>
      </w:r>
      <w:r>
        <w:t xml:space="preserve">Mathematician</w:t>
      </w:r>
      <w:r>
        <w:t xml:space="preserve"> </w:t>
      </w:r>
      <w:r>
        <w:t xml:space="preserve">shall maintain strict confidentiality regarding all client data, proprietary information, and project details in accordance with the Personal Data Protection Act 2010 (PDPA) of Malaysia.</w:t>
      </w:r>
    </w:p>
    <w:p>
      <w:pPr>
        <w:numPr>
          <w:ilvl w:val="0"/>
          <w:numId w:val="1002"/>
        </w:numPr>
        <w:pStyle w:val="Compact"/>
      </w:pPr>
      <w:r>
        <w:t xml:space="preserve">Any changes to the scope of work beyond the originally agreed deliverables will be subject to a revised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and mutual written approval before additional work commences.</w:t>
      </w:r>
    </w:p>
    <w:p>
      <w:pPr>
        <w:numPr>
          <w:ilvl w:val="0"/>
          <w:numId w:val="1002"/>
        </w:numPr>
        <w:pStyle w:val="Compact"/>
      </w:pPr>
      <w:r>
        <w:t xml:space="preserve">The</w:t>
      </w:r>
      <w:r>
        <w:t xml:space="preserve"> </w:t>
      </w:r>
      <w:r>
        <w:t xml:space="preserve">Mathematician</w:t>
      </w:r>
      <w:r>
        <w:t xml:space="preserve"> </w:t>
      </w:r>
      <w:r>
        <w:t xml:space="preserve">reserves the right to decline engagement if the project involves unethical research or violates Malaysian regulatory frameworks.</w:t>
      </w:r>
    </w:p>
    <w:p>
      <w:pPr>
        <w:numPr>
          <w:ilvl w:val="0"/>
          <w:numId w:val="1002"/>
        </w:numPr>
        <w:pStyle w:val="Compact"/>
      </w:pPr>
      <w:r>
        <w:t xml:space="preserve">Force majeure events, including but not limited to natural disasters, government-imposed restrictions in</w:t>
      </w:r>
      <w:r>
        <w:t xml:space="preserve"> </w:t>
      </w:r>
      <w:r>
        <w:t xml:space="preserve">Malaysia Kuala Lumpur</w:t>
      </w:r>
      <w:r>
        <w:t xml:space="preserve">, or public health emergencies, shall relieve both parties from performance obligations during the affected period.</w:t>
      </w:r>
    </w:p>
    <w:p>
      <w:pPr>
        <w:numPr>
          <w:ilvl w:val="0"/>
          <w:numId w:val="1002"/>
        </w:numPr>
        <w:pStyle w:val="Compact"/>
      </w:pPr>
      <w:r>
        <w:t xml:space="preserve">Disputes arising from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shall be resolved through mediation in</w:t>
      </w:r>
      <w:r>
        <w:t xml:space="preserve"> </w:t>
      </w:r>
      <w:r>
        <w:t xml:space="preserve">Malaysia Kuala Lumpur</w:t>
      </w:r>
      <w:r>
        <w:t xml:space="preserve"> </w:t>
      </w:r>
      <w:r>
        <w:t xml:space="preserve">in accordance with the Mediation Act 2012 of Malaysia. If mediation fails, disputes shall be referred to the courts of competent jurisdiction in</w:t>
      </w:r>
      <w:r>
        <w:t xml:space="preserve"> </w:t>
      </w:r>
      <w:r>
        <w:t xml:space="preserve">Malaysia Kuala Lumpur</w:t>
      </w:r>
      <w:r>
        <w:t xml:space="preserve">.</w:t>
      </w:r>
    </w:p>
    <w:p>
      <w:pPr>
        <w:numPr>
          <w:ilvl w:val="0"/>
          <w:numId w:val="1002"/>
        </w:numPr>
        <w:pStyle w:val="Compact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does not constitute a binding contract until formally accepted in writing by both parties and a definitive Service Agreement is executed.</w:t>
      </w:r>
    </w:p>
    <w:p>
      <w:pPr>
        <w:pStyle w:val="FirstParagraph"/>
      </w:pPr>
      <w:r>
        <w:rPr>
          <w:bCs/>
          <w:b/>
        </w:rPr>
        <w:t xml:space="preserve">Note:</w:t>
      </w:r>
      <w:r>
        <w:t xml:space="preserve"> </w:t>
      </w: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assumes standard working hours (Monday to Friday, 9:00 AM – 6:00 PM) in</w:t>
      </w:r>
      <w:r>
        <w:t xml:space="preserve"> </w:t>
      </w:r>
      <w:r>
        <w:t xml:space="preserve">Malaysia Kuala Lumpur</w:t>
      </w:r>
      <w:r>
        <w:t xml:space="preserve">. Overtime or weekend engagement of the</w:t>
      </w:r>
      <w:r>
        <w:t xml:space="preserve"> </w:t>
      </w:r>
      <w:r>
        <w:t xml:space="preserve">Mathematician</w:t>
      </w:r>
      <w:r>
        <w:t xml:space="preserve"> </w:t>
      </w:r>
      <w:r>
        <w:t xml:space="preserve">will be billed at 1.5x the standard hourly rate. All rates are quoted in Malaysian Ringgit (MYR) and are inclusive of the</w:t>
      </w:r>
      <w:r>
        <w:t xml:space="preserve"> </w:t>
      </w:r>
      <w:r>
        <w:t xml:space="preserve">Mathematician</w:t>
      </w:r>
      <w:r>
        <w:t xml:space="preserve">'s professional expertise and standard software licensing.</w:t>
      </w:r>
    </w:p>
    <w:bookmarkEnd w:id="24"/>
    <w:bookmarkStart w:id="25" w:name="acceptance"/>
    <w:p>
      <w:pPr>
        <w:pStyle w:val="Heading2"/>
      </w:pPr>
      <w:r>
        <w:t xml:space="preserve">5. Acceptance</w:t>
      </w:r>
    </w:p>
    <w:p>
      <w:pPr>
        <w:pStyle w:val="FirstParagraph"/>
      </w:pPr>
      <w:r>
        <w:t xml:space="preserve">By signing below, the client acknowledges and accepts the terms, conditions, and pricing outlined in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for the engagement of the</w:t>
      </w:r>
      <w:r>
        <w:t xml:space="preserve"> </w:t>
      </w:r>
      <w:r>
        <w:t xml:space="preserve">Mathematician</w:t>
      </w:r>
      <w:r>
        <w:t xml:space="preserve"> </w:t>
      </w:r>
      <w:r>
        <w:t xml:space="preserve">in</w:t>
      </w:r>
      <w:r>
        <w:t xml:space="preserve"> </w:t>
      </w:r>
      <w:r>
        <w:t xml:space="preserve">Malaysia Kuala Lumpur</w:t>
      </w:r>
      <w:r>
        <w:t xml:space="preserve">.</w:t>
      </w:r>
    </w:p>
    <w:p>
      <w:pPr>
        <w:pStyle w:val="BodyText"/>
      </w:pPr>
      <w:r>
        <w:rPr>
          <w:bCs/>
          <w:b/>
        </w:rPr>
        <w:t xml:space="preserve">For and on behalf of:</w:t>
      </w:r>
      <w:r>
        <w:br/>
      </w:r>
      <w:r>
        <w:t xml:space="preserve">Apex Mathematical Consulting Sdn. Bhd.</w:t>
      </w:r>
    </w:p>
    <w:p>
      <w:pPr>
        <w:pStyle w:val="BodyText"/>
      </w:pPr>
      <w:r>
        <w:t xml:space="preserve">Name: Dr. Ahmad bin Rashid</w:t>
      </w:r>
      <w:r>
        <w:br/>
      </w:r>
      <w:r>
        <w:t xml:space="preserve">Designation: Chief Mathematician &amp; Director</w:t>
      </w:r>
      <w:r>
        <w:br/>
      </w:r>
      <w:r>
        <w:t xml:space="preserve">Date: _______________</w:t>
      </w:r>
    </w:p>
    <w:p>
      <w:pPr>
        <w:pStyle w:val="BodyText"/>
      </w:pPr>
      <w:r>
        <w:rPr>
          <w:bCs/>
          <w:b/>
        </w:rPr>
        <w:t xml:space="preserve">Accepted by (Client):</w:t>
      </w:r>
      <w:r>
        <w:br/>
      </w:r>
      <w:r>
        <w:t xml:space="preserve">[Client Company Name]</w:t>
      </w:r>
    </w:p>
    <w:p>
      <w:pPr>
        <w:pStyle w:val="BodyText"/>
      </w:pPr>
      <w:r>
        <w:t xml:space="preserve">Name: _______________</w:t>
      </w:r>
      <w:r>
        <w:br/>
      </w:r>
      <w:r>
        <w:t xml:space="preserve">Designation: _______________</w:t>
      </w:r>
      <w:r>
        <w:br/>
      </w:r>
      <w:r>
        <w:t xml:space="preserve">Date: _______________</w:t>
      </w:r>
    </w:p>
    <w:p>
      <w:pPr>
        <w:pStyle w:val="BodyText"/>
      </w:pPr>
      <w:r>
        <w:t xml:space="preserve">Apex Mathematical Consulting Sdn. Bhd. | Level 24, Menara Maxis, Jalan Tun Razak, 50400</w:t>
      </w:r>
      <w:r>
        <w:t xml:space="preserve"> </w:t>
      </w:r>
      <w:r>
        <w:t xml:space="preserve">Malaysia Kuala Lumpur</w:t>
      </w:r>
    </w:p>
    <w:p>
      <w:pPr>
        <w:pStyle w:val="BodyText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(Ref: QTE-ML-2025-0487) is the property of Apex Mathematical Consulting Sdn. Bhd. and is intended solely for the named client. Unauthorised reproduction or distribution is prohibited.</w:t>
      </w:r>
    </w:p>
    <w:p>
      <w:pPr>
        <w:pStyle w:val="BodyText"/>
      </w:pPr>
      <w:r>
        <w:t xml:space="preserve">Page 1 of 1 | Generated: 15 June 2025</w:t>
      </w:r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Quotation Estimate - Mathematician Services - Malaysia Kuala Lumpur</dc:title>
  <dc:creator/>
  <dc:language>en</dc:language>
  <cp:keywords/>
  <dcterms:created xsi:type="dcterms:W3CDTF">2026-10-10T02:52:22Z</dcterms:created>
  <dcterms:modified xsi:type="dcterms:W3CDTF">2026-10-10T02:52:22Z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