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rPr>
          <w:bCs/>
          <w:b/>
        </w:rPr>
        <w:t xml:space="preserve">Professional Mathematician Services</w:t>
      </w:r>
    </w:p>
    <w:p>
      <w:pPr>
        <w:pStyle w:val="BodyText"/>
      </w:pPr>
      <w:r>
        <w:t xml:space="preserve">Prepared for clients operating in</w:t>
      </w:r>
      <w:r>
        <w:t xml:space="preserve"> </w:t>
      </w:r>
      <w:r>
        <w:rPr>
          <w:bCs/>
          <w:b/>
        </w:rPr>
        <w:t xml:space="preserve">Netherlands Amsterdam</w:t>
      </w:r>
    </w:p>
    <w:p>
      <w:pPr>
        <w:pStyle w:val="BodyText"/>
      </w:pPr>
      <w:r>
        <w:t xml:space="preserve">Quotation Estimate Reference: QE-MATH-2025-0472</w:t>
      </w:r>
      <w:r>
        <w:t xml:space="preserve"> </w:t>
      </w:r>
      <w:r>
        <w:t xml:space="preserve">Date of Issue: 14 June 2025</w:t>
      </w:r>
      <w:r>
        <w:t xml:space="preserve"> </w:t>
      </w:r>
      <w:r>
        <w:t xml:space="preserve">Valid Until: 14 September 2025</w:t>
      </w:r>
    </w:p>
    <w:bookmarkEnd w:id="20"/>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to provide a comprehensive and transparent financial overview for the engagement of a qualified</w:t>
      </w:r>
      <w:r>
        <w:t xml:space="preserve"> </w:t>
      </w:r>
      <w:r>
        <w:rPr>
          <w:bCs/>
          <w:b/>
        </w:rPr>
        <w:t xml:space="preserve">Mathematician</w:t>
      </w:r>
      <w:r>
        <w:t xml:space="preserve"> </w:t>
      </w:r>
      <w:r>
        <w:t xml:space="preserve">to deliver specialized analytical, computational, and advisory services to organizations based in</w:t>
      </w:r>
      <w:r>
        <w:t xml:space="preserve"> </w:t>
      </w:r>
      <w:r>
        <w:rPr>
          <w:bCs/>
          <w:b/>
        </w:rPr>
        <w:t xml:space="preserve">Netherlands Amsterdam</w:t>
      </w:r>
      <w:r>
        <w:t xml:space="preserve">. The scope, deliverables, and pricing outlined herein reflect current market rates for professional Mathematician services within the Amsterdam metropolitan area and the broader Netherlands region.</w:t>
      </w:r>
    </w:p>
    <w:p>
      <w:pPr>
        <w:pStyle w:val="BodyText"/>
      </w:pPr>
      <w:r>
        <w:t xml:space="preserve">Our firm,</w:t>
      </w:r>
      <w:r>
        <w:t xml:space="preserve"> </w:t>
      </w:r>
      <w:r>
        <w:rPr>
          <w:bCs/>
          <w:b/>
        </w:rPr>
        <w:t xml:space="preserve">Amsterdam Analytical Sciences B.V.</w:t>
      </w:r>
      <w:r>
        <w:t xml:space="preserve">, is a registered consultancy operating from Prinsengracht 412, 1016 LE Amsterdam, Netherlands. We specialize in placing and managing senior-level Mathematician professionals for corporate, academic, and governmental clients across the Netherlands. This Quotation Estimate is issued in accordance with Dutch commercial law (Burgerlijk Wetboek, Book 7) and applies to all engagements conducted within the jurisdiction of Netherlands Amsterdam.</w:t>
      </w:r>
    </w:p>
    <w:bookmarkEnd w:id="21"/>
    <w:bookmarkStart w:id="22" w:name="client-and-project-details"/>
    <w:p>
      <w:pPr>
        <w:pStyle w:val="Heading2"/>
      </w:pPr>
      <w:r>
        <w:t xml:space="preserve">2. Client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[To be confirmed upon acceptance of this Quotation Estimate]</w:t>
            </w:r>
          </w:p>
        </w:tc>
      </w:tr>
      <w:tr>
        <w:tc>
          <w:tcPr/>
          <w:p>
            <w:pPr>
              <w:pStyle w:val="Compact"/>
              <w:jc w:val="left"/>
            </w:pPr>
            <w:r>
              <w:t xml:space="preserve">Client Location</w:t>
            </w:r>
          </w:p>
        </w:tc>
        <w:tc>
          <w:tcPr/>
          <w:p>
            <w:pPr>
              <w:pStyle w:val="Compact"/>
              <w:jc w:val="left"/>
            </w:pPr>
            <w:r>
              <w:t xml:space="preserve">Netherlands Amsterdam, Noord-Holland</w:t>
            </w:r>
          </w:p>
        </w:tc>
      </w:tr>
      <w:tr>
        <w:tc>
          <w:tcPr/>
          <w:p>
            <w:pPr>
              <w:pStyle w:val="Compact"/>
              <w:jc w:val="left"/>
            </w:pPr>
            <w:r>
              <w:t xml:space="preserve">Project Title</w:t>
            </w:r>
          </w:p>
        </w:tc>
        <w:tc>
          <w:tcPr/>
          <w:p>
            <w:pPr>
              <w:pStyle w:val="Compact"/>
              <w:jc w:val="left"/>
            </w:pPr>
            <w:r>
              <w:t xml:space="preserve">Advanced Mathematical Modelling and Quantitative Analysis</w:t>
            </w:r>
          </w:p>
        </w:tc>
      </w:tr>
      <w:tr>
        <w:tc>
          <w:tcPr/>
          <w:p>
            <w:pPr>
              <w:pStyle w:val="Compact"/>
              <w:jc w:val="left"/>
            </w:pPr>
            <w:r>
              <w:t xml:space="preserve">Engagement Period</w:t>
            </w:r>
          </w:p>
        </w:tc>
        <w:tc>
          <w:tcPr/>
          <w:p>
            <w:pPr>
              <w:pStyle w:val="Compact"/>
              <w:jc w:val="left"/>
            </w:pPr>
            <w:r>
              <w:t xml:space="preserve">1 July 2025 – 31 December 2025 (6 months, extendable)</w:t>
            </w:r>
          </w:p>
        </w:tc>
      </w:tr>
      <w:tr>
        <w:tc>
          <w:tcPr/>
          <w:p>
            <w:pPr>
              <w:pStyle w:val="Compact"/>
              <w:jc w:val="left"/>
            </w:pPr>
            <w:r>
              <w:t xml:space="preserve">Mathematician Profile</w:t>
            </w:r>
          </w:p>
        </w:tc>
        <w:tc>
          <w:tcPr/>
          <w:p>
            <w:pPr>
              <w:pStyle w:val="Compact"/>
              <w:jc w:val="left"/>
            </w:pPr>
            <w:r>
              <w:t xml:space="preserve">Senior Mathematician, PhD in Applied Mathematics, 10+ years experience</w:t>
            </w:r>
          </w:p>
        </w:tc>
      </w:tr>
      <w:tr>
        <w:tc>
          <w:tcPr/>
          <w:p>
            <w:pPr>
              <w:pStyle w:val="Compact"/>
              <w:jc w:val="left"/>
            </w:pPr>
            <w:r>
              <w:t xml:space="preserve">Work Location</w:t>
            </w:r>
          </w:p>
        </w:tc>
        <w:tc>
          <w:tcPr/>
          <w:p>
            <w:pPr>
              <w:pStyle w:val="Compact"/>
              <w:jc w:val="left"/>
            </w:pPr>
            <w:r>
              <w:t xml:space="preserve">Client premises in Netherlands Amsterdam (hybrid: 3 days on-site, 2 days remote)</w:t>
            </w:r>
          </w:p>
        </w:tc>
      </w:tr>
    </w:tbl>
    <w:bookmarkEnd w:id="22"/>
    <w:bookmarkStart w:id="26" w:name="Xaf4d0d602a3272d04692e8eba4ecf3281db41a3"/>
    <w:p>
      <w:pPr>
        <w:pStyle w:val="Heading2"/>
      </w:pPr>
      <w:r>
        <w:t xml:space="preserve">3. Scope of Services – Mathematician Engagement</w:t>
      </w:r>
    </w:p>
    <w:p>
      <w:pPr>
        <w:pStyle w:val="FirstParagraph"/>
      </w:pPr>
      <w:r>
        <w:t xml:space="preserve">The Mathematician engaged under this Quotation Estimate will perform the following duties and deliverables throughout the contract period in Netherlands Amsterdam:</w:t>
      </w:r>
    </w:p>
    <w:bookmarkStart w:id="23" w:name="core-mathematical-services"/>
    <w:p>
      <w:pPr>
        <w:pStyle w:val="Heading3"/>
      </w:pPr>
      <w:r>
        <w:t xml:space="preserve">3.1 Core Mathematical Services</w:t>
      </w:r>
    </w:p>
    <w:p>
      <w:pPr>
        <w:numPr>
          <w:ilvl w:val="0"/>
          <w:numId w:val="1001"/>
        </w:numPr>
        <w:pStyle w:val="Compact"/>
      </w:pPr>
      <w:r>
        <w:t xml:space="preserve">Development and validation of stochastic and deterministic mathematical models tailored to the client's operational requirements.</w:t>
      </w:r>
    </w:p>
    <w:p>
      <w:pPr>
        <w:numPr>
          <w:ilvl w:val="0"/>
          <w:numId w:val="1001"/>
        </w:numPr>
        <w:pStyle w:val="Compact"/>
      </w:pPr>
      <w:r>
        <w:t xml:space="preserve">Design and implementation of optimization algorithms for logistics, finance, or engineering applications as specified by the client.</w:t>
      </w:r>
    </w:p>
    <w:p>
      <w:pPr>
        <w:numPr>
          <w:ilvl w:val="0"/>
          <w:numId w:val="1001"/>
        </w:numPr>
        <w:pStyle w:val="Compact"/>
      </w:pPr>
      <w:r>
        <w:t xml:space="preserve">Statistical analysis, hypothesis testing, and Bayesian inference for data-driven decision-making frameworks.</w:t>
      </w:r>
    </w:p>
    <w:p>
      <w:pPr>
        <w:numPr>
          <w:ilvl w:val="0"/>
          <w:numId w:val="1001"/>
        </w:numPr>
        <w:pStyle w:val="Compact"/>
      </w:pPr>
      <w:r>
        <w:t xml:space="preserve">Authorship of peer-reviewed-quality technical documentation, white papers, and mathematical proofs supporting the client's intellectual property.</w:t>
      </w:r>
    </w:p>
    <w:bookmarkEnd w:id="23"/>
    <w:bookmarkStart w:id="24" w:name="advisory-and-collaboration"/>
    <w:p>
      <w:pPr>
        <w:pStyle w:val="Heading3"/>
      </w:pPr>
      <w:r>
        <w:t xml:space="preserve">3.2 Advisory and Collaboration</w:t>
      </w:r>
    </w:p>
    <w:p>
      <w:pPr>
        <w:numPr>
          <w:ilvl w:val="0"/>
          <w:numId w:val="1002"/>
        </w:numPr>
        <w:pStyle w:val="Compact"/>
      </w:pPr>
      <w:r>
        <w:t xml:space="preserve">Weekly consultation sessions with the client's engineering and data science teams in Netherlands Amsterdam.</w:t>
      </w:r>
    </w:p>
    <w:p>
      <w:pPr>
        <w:numPr>
          <w:ilvl w:val="0"/>
          <w:numId w:val="1002"/>
        </w:numPr>
        <w:pStyle w:val="Compact"/>
      </w:pPr>
      <w:r>
        <w:t xml:space="preserve">Participation in quarterly strategy meetings to align mathematical modelling outputs with business objectives.</w:t>
      </w:r>
    </w:p>
    <w:p>
      <w:pPr>
        <w:numPr>
          <w:ilvl w:val="0"/>
          <w:numId w:val="1002"/>
        </w:numPr>
        <w:pStyle w:val="Compact"/>
      </w:pPr>
      <w:r>
        <w:t xml:space="preserve">Mentorship of junior analysts and data scientists within the client's Amsterdam office.</w:t>
      </w:r>
    </w:p>
    <w:p>
      <w:pPr>
        <w:numPr>
          <w:ilvl w:val="0"/>
          <w:numId w:val="1002"/>
        </w:numPr>
        <w:pStyle w:val="Compact"/>
      </w:pPr>
      <w:r>
        <w:t xml:space="preserve">Representation of the client at relevant Dutch and European mathematical or scientific conferences as required.</w:t>
      </w:r>
    </w:p>
    <w:bookmarkEnd w:id="24"/>
    <w:bookmarkStart w:id="25" w:name="deliverables"/>
    <w:p>
      <w:pPr>
        <w:pStyle w:val="Heading3"/>
      </w:pPr>
      <w:r>
        <w:t xml:space="preserve">3.3 Deliverables</w:t>
      </w:r>
    </w:p>
    <w:p>
      <w:pPr>
        <w:numPr>
          <w:ilvl w:val="0"/>
          <w:numId w:val="1003"/>
        </w:numPr>
        <w:pStyle w:val="Compact"/>
      </w:pPr>
      <w:r>
        <w:t xml:space="preserve">Monthly progress reports detailing model performance, assumptions, and recommendations.</w:t>
      </w:r>
    </w:p>
    <w:p>
      <w:pPr>
        <w:numPr>
          <w:ilvl w:val="0"/>
          <w:numId w:val="1003"/>
        </w:numPr>
        <w:pStyle w:val="Compact"/>
      </w:pPr>
      <w:r>
        <w:t xml:space="preserve">A final comprehensive report upon completion of the engagement period.</w:t>
      </w:r>
    </w:p>
    <w:p>
      <w:pPr>
        <w:numPr>
          <w:ilvl w:val="0"/>
          <w:numId w:val="1003"/>
        </w:numPr>
        <w:pStyle w:val="Compact"/>
      </w:pPr>
      <w:r>
        <w:t xml:space="preserve">Source code repositories (Python, MATLAB, or R) with full documentation and reproducibility guidelines.</w:t>
      </w:r>
    </w:p>
    <w:bookmarkEnd w:id="25"/>
    <w:bookmarkEnd w:id="26"/>
    <w:bookmarkStart w:id="27" w:name="X99c9499de5c98ccaacfa8f1f6f8363d33ed1c39"/>
    <w:p>
      <w:pPr>
        <w:pStyle w:val="Heading2"/>
      </w:pPr>
      <w:r>
        <w:t xml:space="preserve">4. Financial Breakdown – Quotation Estimate Pricing</w:t>
      </w:r>
    </w:p>
    <w:p>
      <w:pPr>
        <w:pStyle w:val="FirstParagraph"/>
      </w:pPr>
      <w:r>
        <w:t xml:space="preserve">The following Quotation Estimate pricing structure applies to the Mathematician engagement in Netherlands Amsterdam. All amounts are stated in Euros (EUR) and are exclusive of Dutch Value Added Tax (VAT / BTW) at the standard rate of 21%, which will be added upon invoicing.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Mathematician – Professional Fee (per hour)</w:t>
            </w:r>
          </w:p>
        </w:tc>
        <w:tc>
          <w:tcPr/>
          <w:p>
            <w:pPr>
              <w:pStyle w:val="Compact"/>
              <w:jc w:val="left"/>
            </w:pPr>
            <w:r>
              <w:t xml:space="preserve">€185.00</w:t>
            </w:r>
          </w:p>
        </w:tc>
        <w:tc>
          <w:tcPr/>
          <w:p>
            <w:pPr>
              <w:pStyle w:val="Compact"/>
              <w:jc w:val="left"/>
            </w:pPr>
            <w:r>
              <w:t xml:space="preserve">1,040 hrs</w:t>
            </w:r>
          </w:p>
        </w:tc>
        <w:tc>
          <w:tcPr/>
          <w:p>
            <w:pPr>
              <w:pStyle w:val="Compact"/>
              <w:jc w:val="left"/>
            </w:pPr>
            <w:r>
              <w:t xml:space="preserve">€192,400.00</w:t>
            </w:r>
          </w:p>
        </w:tc>
      </w:tr>
      <w:tr>
        <w:tc>
          <w:tcPr/>
          <w:p>
            <w:pPr>
              <w:pStyle w:val="Compact"/>
              <w:jc w:val="left"/>
            </w:pPr>
            <w:r>
              <w:t xml:space="preserve">2</w:t>
            </w:r>
          </w:p>
        </w:tc>
        <w:tc>
          <w:tcPr/>
          <w:p>
            <w:pPr>
              <w:pStyle w:val="Compact"/>
              <w:jc w:val="left"/>
            </w:pPr>
            <w:r>
              <w:t xml:space="preserve">Mathematician – Project Setup &amp; Onboarding (one-time)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Specialized Software Licences (MATLAB, Mathematica, R Studio)</w:t>
            </w:r>
          </w:p>
        </w:tc>
        <w:tc>
          <w:tcPr/>
          <w:p>
            <w:pPr>
              <w:pStyle w:val="Compact"/>
              <w:jc w:val="left"/>
            </w:pPr>
            <w:r>
              <w:t xml:space="preserve">€1,200.00</w:t>
            </w:r>
          </w:p>
        </w:tc>
        <w:tc>
          <w:tcPr/>
          <w:p>
            <w:pPr>
              <w:pStyle w:val="Compact"/>
              <w:jc w:val="left"/>
            </w:pPr>
            <w:r>
              <w:t xml:space="preserve">6 months</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Travel &amp; Local Transport within Netherlands Amsterdam</w:t>
            </w:r>
          </w:p>
        </w:tc>
        <w:tc>
          <w:tcPr/>
          <w:p>
            <w:pPr>
              <w:pStyle w:val="Compact"/>
              <w:jc w:val="left"/>
            </w:pPr>
            <w:r>
              <w:t xml:space="preserve">€450.00</w:t>
            </w:r>
          </w:p>
        </w:tc>
        <w:tc>
          <w:tcPr/>
          <w:p>
            <w:pPr>
              <w:pStyle w:val="Compact"/>
              <w:jc w:val="left"/>
            </w:pPr>
            <w:r>
              <w:t xml:space="preserve">6 months</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Conference &amp; Academic Publication Fees (estimated)</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Project Management &amp; Coordination (10% of Item 1)</w:t>
            </w:r>
          </w:p>
        </w:tc>
        <w:tc>
          <w:tcPr/>
          <w:p>
            <w:pPr>
              <w:pStyle w:val="Compact"/>
              <w:jc w:val="left"/>
            </w:pPr>
            <w:r>
              <w:t xml:space="preserve">—</w:t>
            </w:r>
          </w:p>
        </w:tc>
        <w:tc>
          <w:tcPr/>
          <w:p>
            <w:pPr>
              <w:pStyle w:val="Compact"/>
              <w:jc w:val="left"/>
            </w:pPr>
            <w:r>
              <w:t xml:space="preserve">—</w:t>
            </w:r>
          </w:p>
        </w:tc>
        <w:tc>
          <w:tcPr/>
          <w:p>
            <w:pPr>
              <w:pStyle w:val="Compact"/>
              <w:jc w:val="left"/>
            </w:pPr>
            <w:r>
              <w:t xml:space="preserve">€19,240.00</w:t>
            </w:r>
          </w:p>
        </w:tc>
      </w:tr>
      <w:tr>
        <w:tc>
          <w:tcPr>
            <w:gridSpan w:val="4"/>
          </w:tcPr>
          <w:p>
            <w:pPr>
              <w:pStyle w:val="Compact"/>
              <w:jc w:val="left"/>
            </w:pPr>
            <w:r>
              <w:t xml:space="preserve">Subtotal (excl. VAT)</w:t>
            </w:r>
          </w:p>
        </w:tc>
        <w:tc>
          <w:tcPr/>
          <w:p>
            <w:pPr>
              <w:pStyle w:val="Compact"/>
              <w:jc w:val="left"/>
            </w:pPr>
            <w:r>
              <w:t xml:space="preserve">€227,040.00</w:t>
            </w:r>
          </w:p>
        </w:tc>
      </w:tr>
      <w:tr>
        <w:tc>
          <w:tcPr>
            <w:gridSpan w:val="4"/>
          </w:tcPr>
          <w:p>
            <w:pPr>
              <w:pStyle w:val="Compact"/>
              <w:jc w:val="left"/>
            </w:pPr>
            <w:r>
              <w:t xml:space="preserve">Dutch VAT / BTW (21%)</w:t>
            </w:r>
          </w:p>
        </w:tc>
        <w:tc>
          <w:tcPr/>
          <w:p>
            <w:pPr>
              <w:pStyle w:val="Compact"/>
              <w:jc w:val="left"/>
            </w:pPr>
            <w:r>
              <w:t xml:space="preserve">€47,678.40</w:t>
            </w:r>
          </w:p>
        </w:tc>
      </w:tr>
      <w:tr>
        <w:tc>
          <w:tcPr>
            <w:gridSpan w:val="4"/>
          </w:tcPr>
          <w:p>
            <w:pPr>
              <w:pStyle w:val="Compact"/>
              <w:jc w:val="left"/>
            </w:pPr>
            <w:r>
              <w:t xml:space="preserve">Grand Total (incl. VAT)</w:t>
            </w:r>
          </w:p>
        </w:tc>
        <w:tc>
          <w:tcPr/>
          <w:p>
            <w:pPr>
              <w:pStyle w:val="Compact"/>
              <w:jc w:val="left"/>
            </w:pPr>
            <w:r>
              <w:t xml:space="preserve">€274,718.40</w:t>
            </w:r>
          </w:p>
        </w:tc>
      </w:tr>
    </w:tbl>
    <w:p>
      <w:pPr>
        <w:pStyle w:val="BodyText"/>
      </w:pPr>
      <w:r>
        <w:rPr>
          <w:bCs/>
          <w:b/>
        </w:rPr>
        <w:t xml:space="preserve">Note:</w:t>
      </w:r>
      <w:r>
        <w:t xml:space="preserve"> </w:t>
      </w:r>
      <w:r>
        <w:t xml:space="preserve">This Quotation Estimate is valid for a period of 90 calendar days from the date of issue. Should the client require an extension of the Mathematician engagement beyond the initial six-month period in Netherlands Amsterdam, a supplementary Quotation Estimate will be issued at no additional cost, reflecting any applicable rate adjustments.</w:t>
      </w:r>
    </w:p>
    <w:bookmarkEnd w:id="27"/>
    <w:bookmarkStart w:id="28" w:name="payment-terms-and-conditions"/>
    <w:p>
      <w:pPr>
        <w:pStyle w:val="Heading2"/>
      </w:pPr>
      <w:r>
        <w:t xml:space="preserve">5. Payment Terms and Conditions</w:t>
      </w:r>
    </w:p>
    <w:p>
      <w:pPr>
        <w:numPr>
          <w:ilvl w:val="0"/>
          <w:numId w:val="1004"/>
        </w:numPr>
        <w:pStyle w:val="Compact"/>
      </w:pPr>
      <w:r>
        <w:t xml:space="preserve">Invoices will be issued monthly in arrears, payable within 30 days of the invoice date via bank transfer to our account at ING Bank N.V., Amsterdam, Netherlands.</w:t>
      </w:r>
    </w:p>
    <w:p>
      <w:pPr>
        <w:numPr>
          <w:ilvl w:val="0"/>
          <w:numId w:val="1004"/>
        </w:numPr>
        <w:pStyle w:val="Compact"/>
      </w:pPr>
      <w:r>
        <w:t xml:space="preserve">A mobilization payment of 20% of the total Quotation Estimate value is due upon signed acceptance of this document.</w:t>
      </w:r>
    </w:p>
    <w:p>
      <w:pPr>
        <w:numPr>
          <w:ilvl w:val="0"/>
          <w:numId w:val="1004"/>
        </w:numPr>
        <w:pStyle w:val="Compact"/>
      </w:pPr>
      <w:r>
        <w:t xml:space="preserve">Late payments will incur interest at the statutory Dutch rate (wettelijke rente) as defined under Article 6:119a of the Dutch Civil Code.</w:t>
      </w:r>
    </w:p>
    <w:p>
      <w:pPr>
        <w:numPr>
          <w:ilvl w:val="0"/>
          <w:numId w:val="1004"/>
        </w:numPr>
        <w:pStyle w:val="Compact"/>
      </w:pPr>
      <w:r>
        <w:t xml:space="preserve">All payments are subject to the satisfactory delivery of the Mathematician's agreed milestones as outlined in Section 3.</w:t>
      </w:r>
    </w:p>
    <w:bookmarkEnd w:id="28"/>
    <w:bookmarkStart w:id="29" w:name="terms-conditions-and-legal-provisions"/>
    <w:p>
      <w:pPr>
        <w:pStyle w:val="Heading2"/>
      </w:pPr>
      <w:r>
        <w:t xml:space="preserve">6. Terms, Conditions, and Legal Provisions</w:t>
      </w:r>
    </w:p>
    <w:p>
      <w:pPr>
        <w:numPr>
          <w:ilvl w:val="0"/>
          <w:numId w:val="1005"/>
        </w:numPr>
        <w:pStyle w:val="Compact"/>
      </w:pPr>
      <w:r>
        <w:t xml:space="preserve">This Quotation Estimate and any subsequent contract are governed by the laws of the Netherlands, with exclusive jurisdiction of the District Court of Amsterdam (Rechtbank Amsterdam).</w:t>
      </w:r>
    </w:p>
    <w:p>
      <w:pPr>
        <w:numPr>
          <w:ilvl w:val="0"/>
          <w:numId w:val="1005"/>
        </w:numPr>
        <w:pStyle w:val="Compact"/>
      </w:pPr>
      <w:r>
        <w:t xml:space="preserve">The Mathematician engaged under this arrangement will operate as an independent contractor of Amsterdam Analytical Sciences B.V. and not as an employee of the client, in compliance with Dutch employment and tax regulations.</w:t>
      </w:r>
    </w:p>
    <w:p>
      <w:pPr>
        <w:numPr>
          <w:ilvl w:val="0"/>
          <w:numId w:val="1005"/>
        </w:numPr>
        <w:pStyle w:val="Compact"/>
      </w:pPr>
      <w:r>
        <w:t xml:space="preserve">All intellectual property generated by the Mathematician during the engagement in Netherlands Amsterdam shall be the sole property of the client, as stipulated in the definitive service agreement.</w:t>
      </w:r>
    </w:p>
    <w:p>
      <w:pPr>
        <w:numPr>
          <w:ilvl w:val="0"/>
          <w:numId w:val="1005"/>
        </w:numPr>
        <w:pStyle w:val="Compact"/>
      </w:pPr>
      <w:r>
        <w:t xml:space="preserve">Confidentiality obligations shall survive the termination of this engagement for a period of five (5) years, in accordance with Dutch data protection and privacy legislation (UAVG / GDPR).</w:t>
      </w:r>
    </w:p>
    <w:p>
      <w:pPr>
        <w:numPr>
          <w:ilvl w:val="0"/>
          <w:numId w:val="1005"/>
        </w:numPr>
        <w:pStyle w:val="Compact"/>
      </w:pPr>
      <w:r>
        <w:t xml:space="preserve">Either party may terminate the engagement with 30 days' written notice. In such cases, the client shall be invoiced for all services rendered up to the termination date.</w:t>
      </w:r>
    </w:p>
    <w:bookmarkEnd w:id="29"/>
    <w:bookmarkStart w:id="30" w:name="acceptance-and-authorization"/>
    <w:p>
      <w:pPr>
        <w:pStyle w:val="Heading2"/>
      </w:pPr>
      <w:r>
        <w:t xml:space="preserve">7. Acceptance and Authorization</w:t>
      </w:r>
    </w:p>
    <w:p>
      <w:pPr>
        <w:pStyle w:val="FirstParagraph"/>
      </w:pPr>
      <w:r>
        <w:t xml:space="preserve">By signing below, the client acknowledges and accepts this Quotation Estimate for the engagement of a Mathematician in Netherlands Amsterdam. This signature constitutes a binding commitment to the terms, conditions, and pricing set forth in this document.</w:t>
      </w:r>
    </w:p>
    <w:p>
      <w:pPr>
        <w:pStyle w:val="BodyText"/>
      </w:pPr>
      <w:r>
        <w:rPr>
          <w:bCs/>
          <w:b/>
        </w:rPr>
        <w:t xml:space="preserve">For Amsterdam Analytical Sciences B.V.</w:t>
      </w:r>
    </w:p>
    <w:p>
      <w:pPr>
        <w:pStyle w:val="BodyText"/>
      </w:pPr>
      <w:r>
        <w:t xml:space="preserve">Dr. Hendrik van der Berg</w:t>
      </w:r>
      <w:r>
        <w:br/>
      </w:r>
      <w:r>
        <w:t xml:space="preserve">Managing Director</w:t>
      </w:r>
      <w:r>
        <w:br/>
      </w:r>
      <w:r>
        <w:t xml:space="preserve">Date: _______________</w:t>
      </w:r>
    </w:p>
    <w:p>
      <w:pPr>
        <w:pStyle w:val="BodyText"/>
      </w:pPr>
      <w:r>
        <w:rPr>
          <w:bCs/>
          <w:b/>
        </w:rPr>
        <w:t xml:space="preserve">For the Client</w:t>
      </w:r>
    </w:p>
    <w:p>
      <w:pPr>
        <w:pStyle w:val="BodyText"/>
      </w:pPr>
      <w:r>
        <w:t xml:space="preserve">Name: _______________</w:t>
      </w:r>
      <w:r>
        <w:br/>
      </w:r>
      <w:r>
        <w:t xml:space="preserve">Title: _______________</w:t>
      </w:r>
      <w:r>
        <w:br/>
      </w:r>
      <w:r>
        <w:t xml:space="preserve">Date: _______________</w:t>
      </w:r>
    </w:p>
    <w:bookmarkEnd w:id="30"/>
    <w:p>
      <w:pPr>
        <w:pStyle w:val="BodyText"/>
      </w:pPr>
      <w:r>
        <w:t xml:space="preserve">Amsterdam Analytical Sciences B.V. | Prinsengracht 412, 1016 LE Amsterdam, Netherlands | KvK: 87654321 | BTW: NL861234567B01</w:t>
      </w:r>
    </w:p>
    <w:p>
      <w:pPr>
        <w:pStyle w:val="BodyText"/>
      </w:pPr>
      <w:r>
        <w:t xml:space="preserve">This Quotation Estimate document was generated on 14 June 2025. For inquiries regarding this Mathematician engagement in Netherlands Amsterdam, please contact quotations@amsterdamanalytical.nl or +31 (0)20 555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Netherlands Amsterdam</dc:title>
  <dc:creator/>
  <dc:language>en</dc:language>
  <cp:keywords/>
  <dcterms:created xsi:type="dcterms:W3CDTF">2026-10-10T01:15:07Z</dcterms:created>
  <dcterms:modified xsi:type="dcterms:W3CDTF">2026-10-10T01:15:07Z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