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Mathematician</w:t>
      </w:r>
      <w:r>
        <w:t xml:space="preserve"> </w:t>
      </w:r>
      <w:r>
        <w:t xml:space="preserve">Services</w:t>
      </w:r>
      <w:r>
        <w:t xml:space="preserve"> </w:t>
      </w:r>
      <w:r>
        <w:t xml:space="preserve">-</w:t>
      </w:r>
      <w:r>
        <w:t xml:space="preserve"> </w:t>
      </w:r>
      <w:r>
        <w:t xml:space="preserve">Qatar</w:t>
      </w:r>
      <w:r>
        <w:t xml:space="preserve"> </w:t>
      </w:r>
      <w:r>
        <w:t xml:space="preserve">Doha</w:t>
      </w:r>
    </w:p>
    <w:bookmarkStart w:id="20" w:name="quotation-estimate"/>
    <w:p>
      <w:pPr>
        <w:pStyle w:val="Heading1"/>
      </w:pPr>
      <w:r>
        <w:t xml:space="preserve">Quotation Estimate</w:t>
      </w:r>
    </w:p>
    <w:p>
      <w:pPr>
        <w:pStyle w:val="FirstParagraph"/>
      </w:pPr>
      <w:r>
        <w:t xml:space="preserve">Professional Services</w:t>
      </w:r>
    </w:p>
    <w:p>
      <w:pPr>
        <w:pStyle w:val="BodyText"/>
      </w:pPr>
      <w:r>
        <w:rPr>
          <w:bCs/>
          <w:b/>
        </w:rPr>
        <w:t xml:space="preserve">Qatar Doha Professional Services LLC</w:t>
      </w:r>
    </w:p>
    <w:p>
      <w:pPr>
        <w:pStyle w:val="BodyText"/>
      </w:pPr>
      <w:r>
        <w:t xml:space="preserve">Office 1204, Level 12, Doha Financial Centre, West Bay, Doha, State of Qatar</w:t>
      </w:r>
    </w:p>
    <w:p>
      <w:pPr>
        <w:pStyle w:val="BodyText"/>
      </w:pPr>
      <w:r>
        <w:t xml:space="preserve">Tel: +974-4455-6677 | Email: quotations@qatardoha-professional.com | CR: 1234567</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QDE-2025-04871</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Calendar Days (until 15 July 2025)</w:t>
            </w:r>
          </w:p>
        </w:tc>
        <w:tc>
          <w:tcPr/>
          <w:p>
            <w:pPr>
              <w:pStyle w:val="Compact"/>
              <w:jc w:val="left"/>
            </w:pPr>
            <w:r>
              <w:t xml:space="preserve">Currency</w:t>
            </w:r>
          </w:p>
        </w:tc>
        <w:tc>
          <w:tcPr/>
          <w:p>
            <w:pPr>
              <w:pStyle w:val="Compact"/>
              <w:jc w:val="left"/>
            </w:pPr>
            <w:r>
              <w:t xml:space="preserve">Qatari Riyal (QAR)</w:t>
            </w:r>
          </w:p>
        </w:tc>
      </w:tr>
      <w:tr>
        <w:tc>
          <w:tcPr/>
          <w:p>
            <w:pPr>
              <w:pStyle w:val="Compact"/>
              <w:jc w:val="left"/>
            </w:pPr>
            <w:r>
              <w:t xml:space="preserve">Client Name</w:t>
            </w:r>
          </w:p>
        </w:tc>
        <w:tc>
          <w:tcPr/>
          <w:p>
            <w:pPr>
              <w:pStyle w:val="Compact"/>
              <w:jc w:val="left"/>
            </w:pPr>
            <w:r>
              <w:t xml:space="preserve">Al Rayyan Engineering &amp; Analytics Group WLL</w:t>
            </w:r>
          </w:p>
        </w:tc>
        <w:tc>
          <w:tcPr/>
          <w:p>
            <w:pPr>
              <w:pStyle w:val="Compact"/>
              <w:jc w:val="left"/>
            </w:pPr>
            <w:r>
              <w:t xml:space="preserve">Client Reference</w:t>
            </w:r>
          </w:p>
        </w:tc>
        <w:tc>
          <w:tcPr/>
          <w:p>
            <w:pPr>
              <w:pStyle w:val="Compact"/>
              <w:jc w:val="left"/>
            </w:pPr>
            <w:r>
              <w:t xml:space="preserve">AR-2025-PROJ-092</w:t>
            </w:r>
          </w:p>
        </w:tc>
      </w:tr>
      <w:tr>
        <w:tc>
          <w:tcPr/>
          <w:p>
            <w:pPr>
              <w:pStyle w:val="Compact"/>
              <w:jc w:val="left"/>
            </w:pPr>
            <w:r>
              <w:t xml:space="preserve">Client Address</w:t>
            </w:r>
          </w:p>
        </w:tc>
        <w:tc>
          <w:tcPr/>
          <w:p>
            <w:pPr>
              <w:pStyle w:val="Compact"/>
              <w:jc w:val="left"/>
            </w:pPr>
            <w:r>
              <w:t xml:space="preserve">Building 45, Street 12, Industrial Area, Doha, State of Qatar</w:t>
            </w:r>
          </w:p>
        </w:tc>
        <w:tc>
          <w:tcPr/>
          <w:p>
            <w:pPr>
              <w:pStyle w:val="Compact"/>
              <w:jc w:val="left"/>
            </w:pPr>
            <w:r>
              <w:t xml:space="preserve">Contact Person</w:t>
            </w:r>
          </w:p>
        </w:tc>
        <w:tc>
          <w:tcPr/>
          <w:p>
            <w:pPr>
              <w:pStyle w:val="Compact"/>
              <w:jc w:val="left"/>
            </w:pPr>
            <w:r>
              <w:t xml:space="preserve">Eng. Khalid Al-Mansoori</w:t>
            </w:r>
          </w:p>
        </w:tc>
      </w:tr>
      <w:tr>
        <w:tc>
          <w:tcPr/>
          <w:p>
            <w:pPr>
              <w:pStyle w:val="Compact"/>
              <w:jc w:val="left"/>
            </w:pPr>
            <w:r>
              <w:t xml:space="preserve">Service Category</w:t>
            </w:r>
          </w:p>
        </w:tc>
        <w:tc>
          <w:tcPr>
            <w:gridSpan w:val="3"/>
          </w:tcPr>
          <w:p>
            <w:pPr>
              <w:pStyle w:val="Compact"/>
              <w:jc w:val="left"/>
            </w:pPr>
            <w:r>
              <w:t xml:space="preserve">Mathematician – Advanced Quantitative &amp; Analytical Consulting</w:t>
            </w:r>
          </w:p>
        </w:tc>
      </w:tr>
    </w:tbl>
    <w:bookmarkStart w:id="21" w:name="purpose-of-this-quotation-estimate"/>
    <w:p>
      <w:pPr>
        <w:pStyle w:val="Heading2"/>
      </w:pPr>
      <w:r>
        <w:t xml:space="preserve">1. Purpose of This Quotation Estimate</w:t>
      </w:r>
    </w:p>
    <w:p>
      <w:pPr>
        <w:pStyle w:val="FirstParagraph"/>
      </w:pPr>
      <w:r>
        <w:t xml:space="preserve">This Quotation Estimate is formally issued by Qatar Doha Professional Services LLC to Al Rayyan Engineering &amp; Analytics Group WLL in response to the client's request for the engagement of a senior Mathematician to support ongoing and upcoming analytical projects within the State of Qatar. The scope of this Quotation Estimate covers the full professional services of a Mathematician, including but not limited to advanced modelling, statistical analysis, algorithmic design, and quantitative research support. All pricing, deliverables, and terms outlined in this document are specific to the Qatar Doha operational context and comply with the regulations of the Ministry of Commerce and Industry of the State of Qatar.</w:t>
      </w:r>
    </w:p>
    <w:bookmarkEnd w:id="21"/>
    <w:bookmarkStart w:id="22" w:name="scope-of-work-mathematician-services"/>
    <w:p>
      <w:pPr>
        <w:pStyle w:val="Heading2"/>
      </w:pPr>
      <w:r>
        <w:t xml:space="preserve">2. Scope of Work – Mathematician Services</w:t>
      </w:r>
    </w:p>
    <w:p>
      <w:pPr>
        <w:pStyle w:val="FirstParagraph"/>
      </w:pPr>
      <w:r>
        <w:t xml:space="preserve">The Mathematician engaged under this Quotation Estimate shall provide the following professional services in Doha, Qatar:</w:t>
      </w:r>
    </w:p>
    <w:p>
      <w:pPr>
        <w:numPr>
          <w:ilvl w:val="0"/>
          <w:numId w:val="1001"/>
        </w:numPr>
        <w:pStyle w:val="Compact"/>
      </w:pPr>
      <w:r>
        <w:rPr>
          <w:bCs/>
          <w:b/>
        </w:rPr>
        <w:t xml:space="preserve">Advanced Mathematical Modelling:</w:t>
      </w:r>
      <w:r>
        <w:t xml:space="preserve"> </w:t>
      </w:r>
      <w:r>
        <w:t xml:space="preserve">Development and validation of differential equations, stochastic processes, and optimization frameworks tailored to the client's engineering and data analytics requirements in the Qatar Doha market.</w:t>
      </w:r>
    </w:p>
    <w:p>
      <w:pPr>
        <w:numPr>
          <w:ilvl w:val="0"/>
          <w:numId w:val="1001"/>
        </w:numPr>
        <w:pStyle w:val="Compact"/>
      </w:pPr>
      <w:r>
        <w:rPr>
          <w:bCs/>
          <w:b/>
        </w:rPr>
        <w:t xml:space="preserve">Statistical Analysis &amp; Data Interpretation:</w:t>
      </w:r>
      <w:r>
        <w:t xml:space="preserve"> </w:t>
      </w:r>
      <w:r>
        <w:t xml:space="preserve">Design and execution of rigorous statistical studies, hypothesis testing, regression analysis, and Bayesian inference for datasets exceeding 10 million records.</w:t>
      </w:r>
    </w:p>
    <w:p>
      <w:pPr>
        <w:numPr>
          <w:ilvl w:val="0"/>
          <w:numId w:val="1001"/>
        </w:numPr>
        <w:pStyle w:val="Compact"/>
      </w:pPr>
      <w:r>
        <w:rPr>
          <w:bCs/>
          <w:b/>
        </w:rPr>
        <w:t xml:space="preserve">Algorithmic Design &amp; Computational Mathematics:</w:t>
      </w:r>
      <w:r>
        <w:t xml:space="preserve"> </w:t>
      </w:r>
      <w:r>
        <w:t xml:space="preserve">Creation of efficient numerical algorithms, finite element methods, and computational geometry solutions to support the client's simulation platforms.</w:t>
      </w:r>
    </w:p>
    <w:p>
      <w:pPr>
        <w:numPr>
          <w:ilvl w:val="0"/>
          <w:numId w:val="1001"/>
        </w:numPr>
        <w:pStyle w:val="Compact"/>
      </w:pPr>
      <w:r>
        <w:rPr>
          <w:bCs/>
          <w:b/>
        </w:rPr>
        <w:t xml:space="preserve">Quantitative Research &amp; Academic Support:</w:t>
      </w:r>
      <w:r>
        <w:t xml:space="preserve"> </w:t>
      </w:r>
      <w:r>
        <w:t xml:space="preserve">Preparation of peer-reviewed research papers, mathematical proofs, and technical white papers for publication and internal knowledge transfer within the Qatar Doha scientific community.</w:t>
      </w:r>
    </w:p>
    <w:p>
      <w:pPr>
        <w:numPr>
          <w:ilvl w:val="0"/>
          <w:numId w:val="1001"/>
        </w:numPr>
        <w:pStyle w:val="Compact"/>
      </w:pPr>
      <w:r>
        <w:rPr>
          <w:bCs/>
          <w:b/>
        </w:rPr>
        <w:t xml:space="preserve">Consultation &amp; Training:</w:t>
      </w:r>
      <w:r>
        <w:t xml:space="preserve"> </w:t>
      </w:r>
      <w:r>
        <w:t xml:space="preserve">On-site workshops and mentoring sessions for the client's in-house engineering and data science teams, conducted at the client's Doha premises or at our Qatar Doha office facility.</w:t>
      </w:r>
    </w:p>
    <w:p>
      <w:pPr>
        <w:numPr>
          <w:ilvl w:val="0"/>
          <w:numId w:val="1001"/>
        </w:numPr>
        <w:pStyle w:val="Compact"/>
      </w:pPr>
      <w:r>
        <w:rPr>
          <w:bCs/>
          <w:b/>
        </w:rPr>
        <w:t xml:space="preserve">Report Writing &amp; Documentation:</w:t>
      </w:r>
      <w:r>
        <w:t xml:space="preserve"> </w:t>
      </w:r>
      <w:r>
        <w:t xml:space="preserve">Delivery of comprehensive technical reports, mathematical appendices, and executive summaries in both English and Arabic to meet Qatar Doha regulatory and corporate reporting standards.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Mathematician Service</w:t>
            </w:r>
          </w:p>
        </w:tc>
        <w:tc>
          <w:tcPr/>
          <w:p>
            <w:pPr>
              <w:pStyle w:val="Compact"/>
              <w:jc w:val="left"/>
            </w:pPr>
            <w:r>
              <w:t xml:space="preserve">Duration / Quantity</w:t>
            </w:r>
          </w:p>
        </w:tc>
        <w:tc>
          <w:tcPr/>
          <w:p>
            <w:pPr>
              <w:pStyle w:val="Compact"/>
              <w:jc w:val="left"/>
            </w:pPr>
            <w:r>
              <w:t xml:space="preserve">Unit Rate (QAR)</w:t>
            </w:r>
          </w:p>
        </w:tc>
        <w:tc>
          <w:tcPr/>
          <w:p>
            <w:pPr>
              <w:pStyle w:val="Compact"/>
              <w:jc w:val="left"/>
            </w:pPr>
            <w:r>
              <w:t xml:space="preserve">Total (QAR)</w:t>
            </w:r>
          </w:p>
        </w:tc>
      </w:tr>
      <w:tr>
        <w:tc>
          <w:tcPr/>
          <w:p>
            <w:pPr>
              <w:pStyle w:val="Compact"/>
              <w:jc w:val="left"/>
            </w:pPr>
            <w:r>
              <w:t xml:space="preserve">01</w:t>
            </w:r>
          </w:p>
        </w:tc>
        <w:tc>
          <w:tcPr/>
          <w:p>
            <w:pPr>
              <w:pStyle w:val="Compact"/>
              <w:jc w:val="left"/>
            </w:pPr>
            <w:r>
              <w:t xml:space="preserve">Senior Mathematician – Full-time engagement (40 hrs/week)</w:t>
            </w:r>
          </w:p>
        </w:tc>
        <w:tc>
          <w:tcPr/>
          <w:p>
            <w:pPr>
              <w:pStyle w:val="Compact"/>
              <w:jc w:val="left"/>
            </w:pPr>
            <w:r>
              <w:t xml:space="preserve">6 Months</w:t>
            </w:r>
          </w:p>
        </w:tc>
        <w:tc>
          <w:tcPr/>
          <w:p>
            <w:pPr>
              <w:pStyle w:val="Compact"/>
              <w:jc w:val="left"/>
            </w:pPr>
            <w:r>
              <w:t xml:space="preserve">28,500 / month</w:t>
            </w:r>
          </w:p>
        </w:tc>
        <w:tc>
          <w:tcPr/>
          <w:p>
            <w:pPr>
              <w:pStyle w:val="Compact"/>
              <w:jc w:val="left"/>
            </w:pPr>
            <w:r>
              <w:t xml:space="preserve">171,000.00</w:t>
            </w:r>
          </w:p>
        </w:tc>
      </w:tr>
      <w:tr>
        <w:tc>
          <w:tcPr/>
          <w:p>
            <w:pPr>
              <w:pStyle w:val="Compact"/>
              <w:jc w:val="left"/>
            </w:pPr>
            <w:r>
              <w:t xml:space="preserve">02</w:t>
            </w:r>
          </w:p>
        </w:tc>
        <w:tc>
          <w:tcPr/>
          <w:p>
            <w:pPr>
              <w:pStyle w:val="Compact"/>
              <w:jc w:val="left"/>
            </w:pPr>
            <w:r>
              <w:t xml:space="preserve">Advanced Mathematical Modelling &amp; Simulation Development</w:t>
            </w:r>
          </w:p>
        </w:tc>
        <w:tc>
          <w:tcPr/>
          <w:p>
            <w:pPr>
              <w:pStyle w:val="Compact"/>
              <w:jc w:val="left"/>
            </w:pPr>
            <w:r>
              <w:t xml:space="preserve">3 Projects</w:t>
            </w:r>
          </w:p>
        </w:tc>
        <w:tc>
          <w:tcPr/>
          <w:p>
            <w:pPr>
              <w:pStyle w:val="Compact"/>
              <w:jc w:val="left"/>
            </w:pPr>
            <w:r>
              <w:t xml:space="preserve">18,750 / project</w:t>
            </w:r>
          </w:p>
        </w:tc>
        <w:tc>
          <w:tcPr/>
          <w:p>
            <w:pPr>
              <w:pStyle w:val="Compact"/>
              <w:jc w:val="left"/>
            </w:pPr>
            <w:r>
              <w:t xml:space="preserve">56,250.00</w:t>
            </w:r>
          </w:p>
        </w:tc>
      </w:tr>
      <w:tr>
        <w:tc>
          <w:tcPr/>
          <w:p>
            <w:pPr>
              <w:pStyle w:val="Compact"/>
              <w:jc w:val="left"/>
            </w:pPr>
            <w:r>
              <w:t xml:space="preserve">03</w:t>
            </w:r>
          </w:p>
        </w:tc>
        <w:tc>
          <w:tcPr/>
          <w:p>
            <w:pPr>
              <w:pStyle w:val="Compact"/>
              <w:jc w:val="left"/>
            </w:pPr>
            <w:r>
              <w:t xml:space="preserve">Statistical Analysis &amp; Data Interpretation (large-scale datasets)</w:t>
            </w:r>
          </w:p>
        </w:tc>
        <w:tc>
          <w:tcPr/>
          <w:p>
            <w:pPr>
              <w:pStyle w:val="Compact"/>
              <w:jc w:val="left"/>
            </w:pPr>
            <w:r>
              <w:t xml:space="preserve">4 Deliverables</w:t>
            </w:r>
          </w:p>
        </w:tc>
        <w:tc>
          <w:tcPr/>
          <w:p>
            <w:pPr>
              <w:pStyle w:val="Compact"/>
              <w:jc w:val="left"/>
            </w:pPr>
            <w:r>
              <w:t xml:space="preserve">12,400 / deliverable</w:t>
            </w:r>
          </w:p>
        </w:tc>
        <w:tc>
          <w:tcPr/>
          <w:p>
            <w:pPr>
              <w:pStyle w:val="Compact"/>
              <w:jc w:val="left"/>
            </w:pPr>
            <w:r>
              <w:t xml:space="preserve">49,600.00</w:t>
            </w:r>
          </w:p>
        </w:tc>
      </w:tr>
      <w:tr>
        <w:tc>
          <w:tcPr/>
          <w:p>
            <w:pPr>
              <w:pStyle w:val="Compact"/>
              <w:jc w:val="left"/>
            </w:pPr>
            <w:r>
              <w:t xml:space="preserve">04</w:t>
            </w:r>
          </w:p>
        </w:tc>
        <w:tc>
          <w:tcPr/>
          <w:p>
            <w:pPr>
              <w:pStyle w:val="Compact"/>
              <w:jc w:val="left"/>
            </w:pPr>
            <w:r>
              <w:t xml:space="preserve">Algorithmic Design &amp; Computational Mathematics Support</w:t>
            </w:r>
          </w:p>
        </w:tc>
        <w:tc>
          <w:tcPr/>
          <w:p>
            <w:pPr>
              <w:pStyle w:val="Compact"/>
              <w:jc w:val="left"/>
            </w:pPr>
            <w:r>
              <w:t xml:space="preserve">2 Sprints</w:t>
            </w:r>
          </w:p>
        </w:tc>
        <w:tc>
          <w:tcPr/>
          <w:p>
            <w:pPr>
              <w:pStyle w:val="Compact"/>
              <w:jc w:val="left"/>
            </w:pPr>
            <w:r>
              <w:t xml:space="preserve">22,000 / sprint</w:t>
            </w:r>
          </w:p>
        </w:tc>
        <w:tc>
          <w:tcPr/>
          <w:p>
            <w:pPr>
              <w:pStyle w:val="Compact"/>
              <w:jc w:val="left"/>
            </w:pPr>
            <w:r>
              <w:t xml:space="preserve">44,000.00</w:t>
            </w:r>
          </w:p>
        </w:tc>
      </w:tr>
      <w:tr>
        <w:tc>
          <w:tcPr/>
          <w:p>
            <w:pPr>
              <w:pStyle w:val="Compact"/>
              <w:jc w:val="left"/>
            </w:pPr>
            <w:r>
              <w:t xml:space="preserve">05</w:t>
            </w:r>
          </w:p>
        </w:tc>
        <w:tc>
          <w:tcPr/>
          <w:p>
            <w:pPr>
              <w:pStyle w:val="Compact"/>
              <w:jc w:val="left"/>
            </w:pPr>
            <w:r>
              <w:t xml:space="preserve">Quantitative Research &amp; Academic Publication Support</w:t>
            </w:r>
          </w:p>
        </w:tc>
        <w:tc>
          <w:tcPr/>
          <w:p>
            <w:pPr>
              <w:pStyle w:val="Compact"/>
              <w:jc w:val="left"/>
            </w:pPr>
            <w:r>
              <w:t xml:space="preserve">2 Papers</w:t>
            </w:r>
          </w:p>
        </w:tc>
        <w:tc>
          <w:tcPr/>
          <w:p>
            <w:pPr>
              <w:pStyle w:val="Compact"/>
              <w:jc w:val="left"/>
            </w:pPr>
            <w:r>
              <w:t xml:space="preserve">15,800 / paper</w:t>
            </w:r>
          </w:p>
        </w:tc>
        <w:tc>
          <w:tcPr/>
          <w:p>
            <w:pPr>
              <w:pStyle w:val="Compact"/>
              <w:jc w:val="left"/>
            </w:pPr>
            <w:r>
              <w:t xml:space="preserve">31,600.00</w:t>
            </w:r>
          </w:p>
        </w:tc>
      </w:tr>
      <w:tr>
        <w:tc>
          <w:tcPr/>
          <w:p>
            <w:pPr>
              <w:pStyle w:val="Compact"/>
              <w:jc w:val="left"/>
            </w:pPr>
            <w:r>
              <w:t xml:space="preserve">06</w:t>
            </w:r>
          </w:p>
        </w:tc>
        <w:tc>
          <w:tcPr/>
          <w:p>
            <w:pPr>
              <w:pStyle w:val="Compact"/>
              <w:jc w:val="left"/>
            </w:pPr>
            <w:r>
              <w:t xml:space="preserve">On-site Training &amp; Mentoring Workshops in Doha</w:t>
            </w:r>
          </w:p>
        </w:tc>
        <w:tc>
          <w:tcPr/>
          <w:p>
            <w:pPr>
              <w:pStyle w:val="Compact"/>
              <w:jc w:val="left"/>
            </w:pPr>
            <w:r>
              <w:t xml:space="preserve">8 Sessions</w:t>
            </w:r>
          </w:p>
        </w:tc>
        <w:tc>
          <w:tcPr/>
          <w:p>
            <w:pPr>
              <w:pStyle w:val="Compact"/>
              <w:jc w:val="left"/>
            </w:pPr>
            <w:r>
              <w:t xml:space="preserve">3,200 / session</w:t>
            </w:r>
          </w:p>
        </w:tc>
        <w:tc>
          <w:tcPr/>
          <w:p>
            <w:pPr>
              <w:pStyle w:val="Compact"/>
              <w:jc w:val="left"/>
            </w:pPr>
            <w:r>
              <w:t xml:space="preserve">25,600.00</w:t>
            </w:r>
          </w:p>
        </w:tc>
      </w:tr>
      <w:tr>
        <w:tc>
          <w:tcPr/>
          <w:p>
            <w:pPr>
              <w:pStyle w:val="Compact"/>
              <w:jc w:val="left"/>
            </w:pPr>
            <w:r>
              <w:t xml:space="preserve">07</w:t>
            </w:r>
          </w:p>
        </w:tc>
        <w:tc>
          <w:tcPr/>
          <w:p>
            <w:pPr>
              <w:pStyle w:val="Compact"/>
              <w:jc w:val="left"/>
            </w:pPr>
            <w:r>
              <w:t xml:space="preserve">Technical Report Writing &amp; Bilingual Documentation (EN/AR)</w:t>
            </w:r>
          </w:p>
        </w:tc>
        <w:tc>
          <w:tcPr/>
          <w:p>
            <w:pPr>
              <w:pStyle w:val="Compact"/>
              <w:jc w:val="left"/>
            </w:pPr>
            <w:r>
              <w:t xml:space="preserve">6 Reports</w:t>
            </w:r>
          </w:p>
        </w:tc>
        <w:tc>
          <w:tcPr/>
          <w:p>
            <w:pPr>
              <w:pStyle w:val="Compact"/>
              <w:jc w:val="left"/>
            </w:pPr>
            <w:r>
              <w:t xml:space="preserve">4,500 / report</w:t>
            </w:r>
          </w:p>
        </w:tc>
        <w:tc>
          <w:tcPr/>
          <w:p>
            <w:pPr>
              <w:pStyle w:val="Compact"/>
              <w:jc w:val="left"/>
            </w:pPr>
            <w:r>
              <w:t xml:space="preserve">27,000.00</w:t>
            </w:r>
          </w:p>
        </w:tc>
      </w:tr>
      <w:tr>
        <w:tc>
          <w:tcPr/>
          <w:p>
            <w:pPr>
              <w:pStyle w:val="Compact"/>
              <w:jc w:val="left"/>
            </w:pPr>
            <w:r>
              <w:t xml:space="preserve">08</w:t>
            </w:r>
          </w:p>
        </w:tc>
        <w:tc>
          <w:tcPr/>
          <w:p>
            <w:pPr>
              <w:pStyle w:val="Compact"/>
              <w:jc w:val="left"/>
            </w:pPr>
            <w:r>
              <w:t xml:space="preserve">Travel, Accommodation &amp; Local Logistics within Qatar Doha</w:t>
            </w:r>
          </w:p>
        </w:tc>
        <w:tc>
          <w:tcPr/>
          <w:p>
            <w:pPr>
              <w:pStyle w:val="Compact"/>
              <w:jc w:val="left"/>
            </w:pPr>
            <w:r>
              <w:t xml:space="preserve">6 Months</w:t>
            </w:r>
          </w:p>
        </w:tc>
        <w:tc>
          <w:tcPr/>
          <w:p>
            <w:pPr>
              <w:pStyle w:val="Compact"/>
              <w:jc w:val="left"/>
            </w:pPr>
            <w:r>
              <w:t xml:space="preserve">—</w:t>
            </w:r>
          </w:p>
        </w:tc>
        <w:tc>
          <w:tcPr/>
          <w:p>
            <w:pPr>
              <w:pStyle w:val="Compact"/>
              <w:jc w:val="left"/>
            </w:pPr>
            <w:r>
              <w:t xml:space="preserve">18,000.00</w:t>
            </w:r>
          </w:p>
        </w:tc>
      </w:tr>
      <w:tr>
        <w:tc>
          <w:tcPr/>
          <w:p>
            <w:pPr>
              <w:pStyle w:val="Compact"/>
              <w:jc w:val="left"/>
            </w:pPr>
            <w:r>
              <w:t xml:space="preserve">09</w:t>
            </w:r>
          </w:p>
        </w:tc>
        <w:tc>
          <w:tcPr/>
          <w:p>
            <w:pPr>
              <w:pStyle w:val="Compact"/>
              <w:jc w:val="left"/>
            </w:pPr>
            <w:r>
              <w:t xml:space="preserve">Software Licenses &amp; Computational Resources (MATLAB, Mathematica, Python stack)</w:t>
            </w:r>
          </w:p>
        </w:tc>
        <w:tc>
          <w:tcPr/>
          <w:p>
            <w:pPr>
              <w:pStyle w:val="Compact"/>
              <w:jc w:val="left"/>
            </w:pPr>
            <w:r>
              <w:t xml:space="preserve">6 Months</w:t>
            </w:r>
          </w:p>
        </w:tc>
        <w:tc>
          <w:tcPr/>
          <w:p>
            <w:pPr>
              <w:pStyle w:val="Compact"/>
              <w:jc w:val="left"/>
            </w:pPr>
            <w:r>
              <w:t xml:space="preserve">—</w:t>
            </w:r>
          </w:p>
        </w:tc>
        <w:tc>
          <w:tcPr/>
          <w:p>
            <w:pPr>
              <w:pStyle w:val="Compact"/>
              <w:jc w:val="left"/>
            </w:pPr>
            <w:r>
              <w:t xml:space="preserve">14,500.00</w:t>
            </w:r>
          </w:p>
        </w:tc>
      </w:tr>
      <w:tr>
        <w:tc>
          <w:tcPr>
            <w:gridSpan w:val="4"/>
          </w:tcPr>
          <w:p>
            <w:pPr>
              <w:pStyle w:val="Compact"/>
              <w:jc w:val="left"/>
            </w:pPr>
            <w:r>
              <w:t xml:space="preserve">Subtotal</w:t>
            </w:r>
          </w:p>
        </w:tc>
        <w:tc>
          <w:tcPr/>
          <w:p>
            <w:pPr>
              <w:pStyle w:val="Compact"/>
              <w:jc w:val="left"/>
            </w:pPr>
            <w:r>
              <w:t xml:space="preserve">437,550.00</w:t>
            </w:r>
          </w:p>
        </w:tc>
      </w:tr>
      <w:tr>
        <w:tc>
          <w:tcPr>
            <w:gridSpan w:val="4"/>
          </w:tcPr>
          <w:p>
            <w:pPr>
              <w:pStyle w:val="Compact"/>
              <w:jc w:val="left"/>
            </w:pPr>
            <w:r>
              <w:t xml:space="preserve">VAT (5% – State of Qatar)</w:t>
            </w:r>
          </w:p>
        </w:tc>
        <w:tc>
          <w:tcPr/>
          <w:p>
            <w:pPr>
              <w:pStyle w:val="Compact"/>
              <w:jc w:val="left"/>
            </w:pPr>
            <w:r>
              <w:t xml:space="preserve">21,877.50</w:t>
            </w:r>
          </w:p>
        </w:tc>
      </w:tr>
      <w:tr>
        <w:tc>
          <w:tcPr>
            <w:gridSpan w:val="4"/>
          </w:tcPr>
          <w:p>
            <w:pPr>
              <w:pStyle w:val="Compact"/>
              <w:jc w:val="left"/>
            </w:pPr>
            <w:r>
              <w:rPr>
                <w:bCs/>
                <w:b/>
              </w:rPr>
              <w:t xml:space="preserve">Grand Total (QAR)</w:t>
            </w:r>
          </w:p>
        </w:tc>
        <w:tc>
          <w:tcPr/>
          <w:p>
            <w:pPr>
              <w:pStyle w:val="Compact"/>
              <w:jc w:val="left"/>
            </w:pPr>
            <w:r>
              <w:rPr>
                <w:bCs/>
                <w:b/>
              </w:rPr>
              <w:t xml:space="preserve">459,427.50</w:t>
            </w:r>
          </w:p>
        </w:tc>
      </w:tr>
    </w:tbl>
    <w:bookmarkEnd w:id="23"/>
    <w:bookmarkStart w:id="24" w:name="terms-and-conditions"/>
    <w:p>
      <w:pPr>
        <w:pStyle w:val="Heading2"/>
      </w:pPr>
      <w:r>
        <w:t xml:space="preserve">4. Terms and Conditions</w:t>
      </w:r>
    </w:p>
    <w:p>
      <w:pPr>
        <w:numPr>
          <w:ilvl w:val="0"/>
          <w:numId w:val="1002"/>
        </w:numPr>
        <w:pStyle w:val="Compact"/>
      </w:pPr>
      <w:r>
        <w:t xml:space="preserve">This Quotation Estimate is valid for thirty (30) calendar days from the date of issue. Any acceptance beyond this period may be subject to revised pricing due to market fluctuations in the Qatar Doha professional services sector.</w:t>
      </w:r>
    </w:p>
    <w:p>
      <w:pPr>
        <w:numPr>
          <w:ilvl w:val="0"/>
          <w:numId w:val="1002"/>
        </w:numPr>
        <w:pStyle w:val="Compact"/>
      </w:pPr>
      <w:r>
        <w:t xml:space="preserve">Payment terms: 40% advance upon signing the service agreement, 40% upon completion of the third month of the Mathematician's engagement, and 20% upon final delivery and acceptance of all deliverables.</w:t>
      </w:r>
    </w:p>
    <w:p>
      <w:pPr>
        <w:numPr>
          <w:ilvl w:val="0"/>
          <w:numId w:val="1002"/>
        </w:numPr>
        <w:pStyle w:val="Compact"/>
      </w:pPr>
      <w:r>
        <w:t xml:space="preserve">All work performed by the Mathematician shall be conducted in compliance with the Qatar Doha data protection regulations and the client's internal confidentiality policies. A mutual Non-Disclosure Agreement (NDA) shall be executed prior to commencement.</w:t>
      </w:r>
    </w:p>
    <w:p>
      <w:pPr>
        <w:numPr>
          <w:ilvl w:val="0"/>
          <w:numId w:val="1002"/>
        </w:numPr>
        <w:pStyle w:val="Compact"/>
      </w:pPr>
      <w:r>
        <w:t xml:space="preserve">The Mathematician shall be available on-site in Doha, Qatar, a minimum of four (4) days per week, with the remaining time allocated to remote analytical work and report preparation.</w:t>
      </w:r>
    </w:p>
    <w:p>
      <w:pPr>
        <w:numPr>
          <w:ilvl w:val="0"/>
          <w:numId w:val="1002"/>
        </w:numPr>
        <w:pStyle w:val="Compact"/>
      </w:pPr>
      <w:r>
        <w:t xml:space="preserve">Any additional services or scope changes beyond those itemized in this Quotation Estimate shall be subject to a supplementary Quotation Estimate issued by Qatar Doha Professional Services LLC and approved in writing by the client.</w:t>
      </w:r>
    </w:p>
    <w:p>
      <w:pPr>
        <w:numPr>
          <w:ilvl w:val="0"/>
          <w:numId w:val="1002"/>
        </w:numPr>
        <w:pStyle w:val="Compact"/>
      </w:pPr>
      <w:r>
        <w:t xml:space="preserve">All intellectual property generated by the Mathematician during the course of this engagement shall vest in the client upon full payment, as per the terms of the master service agreement.</w:t>
      </w:r>
    </w:p>
    <w:p>
      <w:pPr>
        <w:numPr>
          <w:ilvl w:val="0"/>
          <w:numId w:val="1002"/>
        </w:numPr>
        <w:pStyle w:val="Compact"/>
      </w:pPr>
      <w:r>
        <w:t xml:space="preserve">This Quotation Estimate is governed by the laws of the State of Qatar. Any disputes shall be resolved through the Qatar Doha courts or, at the client's election, through arbitration under the Qatar International Arbitration Centre (QIAC).</w:t>
      </w:r>
    </w:p>
    <w:p>
      <w:pPr>
        <w:numPr>
          <w:ilvl w:val="0"/>
          <w:numId w:val="1002"/>
        </w:numPr>
        <w:pStyle w:val="Compact"/>
      </w:pPr>
      <w:r>
        <w:t xml:space="preserve">The Quotation Estimate does not constitute a binding contract until both parties have executed the formal Service Agreement in writing.</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 Quotation Estimate and confirms that the Mathematician services, pricing, and terms outlined herein are acceptable. This signature authorizes Qatar Doha Professional Services LLC to proceed with the engagement of the Mathematician as described in this document.</w:t>
      </w:r>
    </w:p>
    <w:p>
      <w:pPr>
        <w:pStyle w:val="BodyText"/>
      </w:pPr>
      <w:r>
        <w:rPr>
          <w:bCs/>
          <w:b/>
        </w:rPr>
        <w:t xml:space="preserve">For and on behalf of:</w:t>
      </w:r>
      <w:r>
        <w:br/>
      </w:r>
      <w:r>
        <w:t xml:space="preserve">Qatar Doha Professional Services LLC</w:t>
      </w:r>
    </w:p>
    <w:p>
      <w:pPr>
        <w:pStyle w:val="BodyText"/>
      </w:pPr>
      <w:r>
        <w:t xml:space="preserve">Name: Dr. Sarah Al-Thani</w:t>
      </w:r>
      <w:r>
        <w:br/>
      </w:r>
      <w:r>
        <w:t xml:space="preserve">Title: Director of Professional Services</w:t>
      </w:r>
      <w:r>
        <w:br/>
      </w:r>
      <w:r>
        <w:t xml:space="preserve">Date: _______________</w:t>
      </w:r>
    </w:p>
    <w:p>
      <w:pPr>
        <w:pStyle w:val="BodyText"/>
      </w:pPr>
      <w:r>
        <w:rPr>
          <w:bCs/>
          <w:b/>
        </w:rPr>
        <w:t xml:space="preserve">For and on behalf of:</w:t>
      </w:r>
      <w:r>
        <w:br/>
      </w:r>
      <w:r>
        <w:t xml:space="preserve">Al Rayyan Engineering &amp; Analytics Group WLL</w:t>
      </w:r>
    </w:p>
    <w:p>
      <w:pPr>
        <w:pStyle w:val="BodyText"/>
      </w:pPr>
      <w:r>
        <w:t xml:space="preserve">Name: Eng. Khalid Al-Mansoori</w:t>
      </w:r>
      <w:r>
        <w:br/>
      </w:r>
      <w:r>
        <w:t xml:space="preserve">Title: Chief Operations Officer</w:t>
      </w:r>
      <w:r>
        <w:br/>
      </w:r>
      <w:r>
        <w:t xml:space="preserve">Date: _______________</w:t>
      </w:r>
    </w:p>
    <w:p>
      <w:pPr>
        <w:pStyle w:val="BodyText"/>
      </w:pPr>
      <w:r>
        <w:rPr>
          <w:bCs/>
          <w:b/>
        </w:rPr>
        <w:t xml:space="preserve">Note:</w:t>
      </w:r>
      <w:r>
        <w:t xml:space="preserve"> </w:t>
      </w:r>
      <w:r>
        <w:t xml:space="preserve">This Quotation Estimate (Ref: QDE-2025-04871) is a confidential commercial document prepared exclusively for the named client in Qatar Doha. It shall not be reproduced, distributed, or disclosed to third parties without the prior written consent of Qatar Doha Professional Services LLC. All figures are quoted in Qatari Riyal (QAR) and are inclusive of applicable local taxes as stated. The Mathematician referenced in this Quotation Estimate holds a Ph.D. in Applied Mathematics from a recognized international university and possesses a minimum of twelve (12) years of professional experience in quantitative consulting within the Middle East region.</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Mathematician Services - Qatar Doha</dc:title>
  <dc:creator/>
  <dc:language>en</dc:language>
  <cp:keywords/>
  <dcterms:created xsi:type="dcterms:W3CDTF">2026-10-10T01:39:55Z</dcterms:created>
  <dcterms:modified xsi:type="dcterms:W3CDTF">2026-10-10T01:39:55Z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