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9" w:name="quotation-estimate"/>
    <w:p>
      <w:pPr>
        <w:pStyle w:val="Heading1"/>
      </w:pPr>
      <w:r>
        <w:t xml:space="preserve">QUOTATION ESTIMATE</w:t>
      </w:r>
    </w:p>
    <w:p>
      <w:pPr>
        <w:pStyle w:val="FirstParagraph"/>
      </w:pPr>
      <w:r>
        <w:t xml:space="preserve">Professional Mathematician Services — Russia Moscow</w:t>
      </w:r>
    </w:p>
    <w:bookmarkStart w:id="20" w:name="issued-by"/>
    <w:p>
      <w:pPr>
        <w:pStyle w:val="Heading3"/>
      </w:pPr>
      <w:r>
        <w:t xml:space="preserve">Issued By:</w:t>
      </w:r>
    </w:p>
    <w:p>
      <w:pPr>
        <w:pStyle w:val="FirstParagraph"/>
      </w:pPr>
      <w:r>
        <w:rPr>
          <w:bCs/>
          <w:b/>
        </w:rPr>
        <w:t xml:space="preserve">Vector Analytics &amp; Mathematical Consulting LLC</w:t>
      </w:r>
      <w:r>
        <w:br/>
      </w:r>
      <w:r>
        <w:t xml:space="preserve">12 Tverskaya Street, Office 47</w:t>
      </w:r>
      <w:r>
        <w:br/>
      </w:r>
      <w:r>
        <w:t xml:space="preserve">Moscow, Russia Moscow 125009</w:t>
      </w:r>
      <w:r>
        <w:br/>
      </w:r>
      <w:r>
        <w:t xml:space="preserve">Phone: +7 (495) 782-3341</w:t>
      </w:r>
      <w:r>
        <w:br/>
      </w:r>
      <w:r>
        <w:t xml:space="preserve">Email: estimates@vectoranalytics.ru</w:t>
      </w:r>
      <w:r>
        <w:br/>
      </w:r>
      <w:r>
        <w:t xml:space="preserve">INN: 7710458293</w:t>
      </w:r>
    </w:p>
    <w:bookmarkEnd w:id="20"/>
    <w:bookmarkStart w:id="21" w:name="quotation-details"/>
    <w:p>
      <w:pPr>
        <w:pStyle w:val="Heading3"/>
      </w:pPr>
      <w:r>
        <w:t xml:space="preserve">Quotation Details:</w:t>
      </w:r>
    </w:p>
    <w:p>
      <w:pPr>
        <w:pStyle w:val="FirstParagraph"/>
      </w:pPr>
      <w:r>
        <w:t xml:space="preserve">QE-2025-0417</w:t>
      </w:r>
      <w:r>
        <w:br/>
      </w:r>
      <w:r>
        <w:t xml:space="preserve">Date of Issue: 14 June 2025</w:t>
      </w:r>
      <w:r>
        <w:br/>
      </w:r>
      <w:r>
        <w:t xml:space="preserve">Valid Until: 14 July 2025</w:t>
      </w:r>
      <w:r>
        <w:br/>
      </w:r>
      <w:r>
        <w:t xml:space="preserve">Currency: Russian Ruble (RUB)</w:t>
      </w:r>
    </w:p>
    <w:bookmarkEnd w:id="21"/>
    <w:bookmarkStart w:id="22" w:name="prepared-for-client"/>
    <w:p>
      <w:pPr>
        <w:pStyle w:val="Heading3"/>
      </w:pPr>
      <w:r>
        <w:t xml:space="preserve">Prepared For (Client):</w:t>
      </w:r>
    </w:p>
    <w:p>
      <w:pPr>
        <w:pStyle w:val="FirstParagraph"/>
      </w:pPr>
      <w:r>
        <w:rPr>
          <w:bCs/>
          <w:b/>
        </w:rPr>
        <w:t xml:space="preserve">State Scientific Research Institute of Applied Mathematics</w:t>
      </w:r>
      <w:r>
        <w:br/>
      </w:r>
      <w:r>
        <w:t xml:space="preserve">45 Leninsky Prospekt, Building 3</w:t>
      </w:r>
      <w:r>
        <w:br/>
      </w:r>
      <w:r>
        <w:t xml:space="preserve">Moscow, Russia Moscow 119991</w:t>
      </w:r>
      <w:r>
        <w:br/>
      </w:r>
      <w:r>
        <w:t xml:space="preserve">Attn: Dr. Elena V. Sokolova, Chief Research Director</w:t>
      </w:r>
      <w:r>
        <w:br/>
      </w:r>
      <w:r>
        <w:t xml:space="preserve">Contact: e.sokolova@snriam.ru</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Vector Analytics &amp; Mathematical Consulting LLC to provide a comprehensive, itemized cost breakdown for the engagement of a senior Mathematician to deliver specialized analytical, modeling, and research support services within the jurisdiction of Russia Moscow. This document serves as a binding financial proposal and shall remain valid for the period specified above. All pricing in this Quotation Estimate reflects current market rates for qualified Mathematician professionals operating in the Russia Moscow metropolitan area as of the date of issue.</w:t>
      </w:r>
    </w:p>
    <w:bookmarkEnd w:id="23"/>
    <w:bookmarkStart w:id="24" w:name="Xaf4d0d602a3272d04692e8eba4ecf3281db41a3"/>
    <w:p>
      <w:pPr>
        <w:pStyle w:val="Heading2"/>
      </w:pPr>
      <w:r>
        <w:t xml:space="preserve">2. Scope of Services — Mathematician Engagement</w:t>
      </w:r>
    </w:p>
    <w:p>
      <w:pPr>
        <w:pStyle w:val="FirstParagraph"/>
      </w:pPr>
      <w:r>
        <w:t xml:space="preserve">The Mathematician engaged under this Quotation Estimate shall possess a minimum of a Candidate of Sciences (PhD equivalent) degree in Applied Mathematics or a related quantitative discipline, with no fewer than ten (10) years of professional experience in numerical analysis, stochastic modeling, and optimization theory. The Mathematician will be based in Russia Moscow and shall report directly to the client's Chief Research Director. The scope of work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(RUB/hr)</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Development of stochastic differential equation models for financial risk assessment; Mathematician to conduct full derivation, validation, and documentation.</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Design and implementation of Monte Carlo simulation frameworks; Mathematician to write, test, and optimize code in Python and MATLAB.</w:t>
            </w:r>
          </w:p>
        </w:tc>
        <w:tc>
          <w:tcPr/>
          <w:p>
            <w:pPr>
              <w:pStyle w:val="Compact"/>
              <w:jc w:val="left"/>
            </w:pPr>
            <w:r>
              <w:t xml:space="preserve">160 hours</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Peer review and mathematical verification of existing research manuscripts; Mathematician to provide written corrections and analytical commentary.</w:t>
            </w:r>
          </w:p>
        </w:tc>
        <w:tc>
          <w:tcPr/>
          <w:p>
            <w:pPr>
              <w:pStyle w:val="Compact"/>
              <w:jc w:val="left"/>
            </w:pPr>
            <w:r>
              <w:t xml:space="preserve">60 hours</w:t>
            </w:r>
          </w:p>
        </w:tc>
        <w:tc>
          <w:tcPr/>
          <w:p>
            <w:pPr>
              <w:pStyle w:val="Compact"/>
              <w:jc w:val="left"/>
            </w:pPr>
            <w:r>
              <w:t xml:space="preserve">5,200</w:t>
            </w:r>
          </w:p>
        </w:tc>
        <w:tc>
          <w:tcPr/>
          <w:p>
            <w:pPr>
              <w:pStyle w:val="Compact"/>
              <w:jc w:val="left"/>
            </w:pPr>
            <w:r>
              <w:t xml:space="preserve">312,000</w:t>
            </w:r>
          </w:p>
        </w:tc>
      </w:tr>
      <w:tr>
        <w:tc>
          <w:tcPr/>
          <w:p>
            <w:pPr>
              <w:pStyle w:val="Compact"/>
              <w:jc w:val="left"/>
            </w:pPr>
            <w:r>
              <w:t xml:space="preserve">4</w:t>
            </w:r>
          </w:p>
        </w:tc>
        <w:tc>
          <w:tcPr/>
          <w:p>
            <w:pPr>
              <w:pStyle w:val="Compact"/>
              <w:jc w:val="left"/>
            </w:pPr>
            <w:r>
              <w:t xml:space="preserve">On-site consultation and workshop delivery at the client's Russia Moscow facility; Mathematician to conduct two (2) full-day training sessions for a team of 15 researchers.</w:t>
            </w:r>
          </w:p>
        </w:tc>
        <w:tc>
          <w:tcPr/>
          <w:p>
            <w:pPr>
              <w:pStyle w:val="Compact"/>
              <w:jc w:val="left"/>
            </w:pPr>
            <w:r>
              <w:t xml:space="preserve">32 hours</w:t>
            </w:r>
          </w:p>
        </w:tc>
        <w:tc>
          <w:tcPr/>
          <w:p>
            <w:pPr>
              <w:pStyle w:val="Compact"/>
              <w:jc w:val="left"/>
            </w:pPr>
            <w:r>
              <w:t xml:space="preserve">5,800</w:t>
            </w:r>
          </w:p>
        </w:tc>
        <w:tc>
          <w:tcPr/>
          <w:p>
            <w:pPr>
              <w:pStyle w:val="Compact"/>
              <w:jc w:val="left"/>
            </w:pPr>
            <w:r>
              <w:t xml:space="preserve">185,600</w:t>
            </w:r>
          </w:p>
        </w:tc>
      </w:tr>
      <w:tr>
        <w:tc>
          <w:tcPr/>
          <w:p>
            <w:pPr>
              <w:pStyle w:val="Compact"/>
              <w:jc w:val="left"/>
            </w:pPr>
            <w:r>
              <w:t xml:space="preserve">5</w:t>
            </w:r>
          </w:p>
        </w:tc>
        <w:tc>
          <w:tcPr/>
          <w:p>
            <w:pPr>
              <w:pStyle w:val="Compact"/>
              <w:jc w:val="left"/>
            </w:pPr>
            <w:r>
              <w:t xml:space="preserve">Preparation of a comprehensive technical report (minimum 80 pages) summarizing all mathematical findings, proofs, and recommendations.</w:t>
            </w:r>
          </w:p>
        </w:tc>
        <w:tc>
          <w:tcPr/>
          <w:p>
            <w:pPr>
              <w:pStyle w:val="Compact"/>
              <w:jc w:val="left"/>
            </w:pPr>
            <w:r>
              <w:t xml:space="preserve">80 hours</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and accommodation within Russia Moscow for on-site visits (estimated 6 business days); includes local transport, per diem, and hotel.</w:t>
            </w:r>
          </w:p>
        </w:tc>
        <w:tc>
          <w:tcPr/>
          <w:p>
            <w:pPr>
              <w:pStyle w:val="Compact"/>
              <w:jc w:val="left"/>
            </w:pPr>
            <w:r>
              <w:t xml:space="preserve">6 days</w:t>
            </w:r>
          </w:p>
        </w:tc>
        <w:tc>
          <w:tcPr/>
          <w:p>
            <w:pPr>
              <w:pStyle w:val="Compact"/>
              <w:jc w:val="left"/>
            </w:pPr>
            <w:r>
              <w:t xml:space="preserve">Flat rate</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Post-delivery support and Q&amp;A period; Mathematician available for clarification calls and minor revisions for 30 calendar days.</w:t>
            </w:r>
          </w:p>
        </w:tc>
        <w:tc>
          <w:tcPr/>
          <w:p>
            <w:pPr>
              <w:pStyle w:val="Compact"/>
              <w:jc w:val="left"/>
            </w:pPr>
            <w:r>
              <w:t xml:space="preserve">20 hours</w:t>
            </w:r>
          </w:p>
        </w:tc>
        <w:tc>
          <w:tcPr/>
          <w:p>
            <w:pPr>
              <w:pStyle w:val="Compact"/>
              <w:jc w:val="left"/>
            </w:pPr>
            <w:r>
              <w:t xml:space="preserve">4,000</w:t>
            </w:r>
          </w:p>
        </w:tc>
        <w:tc>
          <w:tcPr/>
          <w:p>
            <w:pPr>
              <w:pStyle w:val="Compact"/>
              <w:jc w:val="left"/>
            </w:pPr>
            <w:r>
              <w:t xml:space="preserve">80,000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(RUB)</w:t>
            </w:r>
          </w:p>
        </w:tc>
      </w:tr>
      <w:tr>
        <w:tc>
          <w:tcPr/>
          <w:p>
            <w:pPr>
              <w:pStyle w:val="Compact"/>
              <w:jc w:val="left"/>
            </w:pPr>
            <w:r>
              <w:t xml:space="preserve">Subtotal — Professional Mathematician Services</w:t>
            </w:r>
          </w:p>
        </w:tc>
        <w:tc>
          <w:tcPr/>
          <w:p>
            <w:pPr>
              <w:pStyle w:val="Compact"/>
              <w:jc w:val="left"/>
            </w:pPr>
            <w:r>
              <w:t xml:space="preserve">2,293,600</w:t>
            </w:r>
          </w:p>
        </w:tc>
      </w:tr>
      <w:tr>
        <w:tc>
          <w:tcPr/>
          <w:p>
            <w:pPr>
              <w:pStyle w:val="Compact"/>
              <w:jc w:val="left"/>
            </w:pPr>
            <w:r>
              <w:t xml:space="preserve">VAT (20% per Russian Federation tax code)</w:t>
            </w:r>
          </w:p>
        </w:tc>
        <w:tc>
          <w:tcPr/>
          <w:p>
            <w:pPr>
              <w:pStyle w:val="Compact"/>
              <w:jc w:val="left"/>
            </w:pPr>
            <w:r>
              <w:t xml:space="preserve">458,720</w:t>
            </w:r>
          </w:p>
        </w:tc>
      </w:tr>
      <w:tr>
        <w:tc>
          <w:tcPr/>
          <w:p>
            <w:pPr>
              <w:pStyle w:val="Compact"/>
              <w:jc w:val="left"/>
            </w:pPr>
            <w:r>
              <w:t xml:space="preserve">Grand Total (Quotation Estimate)</w:t>
            </w:r>
          </w:p>
        </w:tc>
        <w:tc>
          <w:tcPr/>
          <w:p>
            <w:pPr>
              <w:pStyle w:val="Compact"/>
              <w:jc w:val="left"/>
            </w:pPr>
            <w:r>
              <w:t xml:space="preserve">2,752,320</w:t>
            </w:r>
          </w:p>
        </w:tc>
      </w:tr>
    </w:tbl>
    <w:bookmarkEnd w:id="25"/>
    <w:bookmarkStart w:id="26" w:name="payment-terms"/>
    <w:p>
      <w:pPr>
        <w:pStyle w:val="Heading2"/>
      </w:pPr>
      <w:r>
        <w:t xml:space="preserve">4. Payment Terms</w:t>
      </w:r>
    </w:p>
    <w:p>
      <w:pPr>
        <w:pStyle w:val="FirstParagraph"/>
      </w:pPr>
      <w:r>
        <w:t xml:space="preserve">Payment for the services outlined in this Quotation Estimate shall be made in Russian Rubles (RUB) via bank transfer to the account of Vector Analytics &amp; Mathematical Consulting LLC. The payment schedule is structured as follows:</w:t>
      </w:r>
    </w:p>
    <w:p>
      <w:pPr>
        <w:numPr>
          <w:ilvl w:val="0"/>
          <w:numId w:val="1001"/>
        </w:numPr>
        <w:pStyle w:val="Compact"/>
      </w:pPr>
      <w:r>
        <w:rPr>
          <w:bCs/>
          <w:b/>
        </w:rPr>
        <w:t xml:space="preserve">30% advance payment</w:t>
      </w:r>
      <w:r>
        <w:t xml:space="preserve"> </w:t>
      </w:r>
      <w:r>
        <w:t xml:space="preserve">(RUB 825,696) due within five (5) business days of signed acceptance of this Quotation Estimate.</w:t>
      </w:r>
    </w:p>
    <w:p>
      <w:pPr>
        <w:numPr>
          <w:ilvl w:val="0"/>
          <w:numId w:val="1001"/>
        </w:numPr>
        <w:pStyle w:val="Compact"/>
      </w:pPr>
      <w:r>
        <w:rPr>
          <w:bCs/>
          <w:b/>
        </w:rPr>
        <w:t xml:space="preserve">40% interim payment</w:t>
      </w:r>
      <w:r>
        <w:t xml:space="preserve"> </w:t>
      </w:r>
      <w:r>
        <w:t xml:space="preserve">(RUB 1,100,928) due upon delivery and client approval of the technical report (Item 5).</w:t>
      </w:r>
    </w:p>
    <w:p>
      <w:pPr>
        <w:numPr>
          <w:ilvl w:val="0"/>
          <w:numId w:val="1001"/>
        </w:numPr>
        <w:pStyle w:val="Compact"/>
      </w:pPr>
      <w:r>
        <w:rPr>
          <w:bCs/>
          <w:b/>
        </w:rPr>
        <w:t xml:space="preserve">30% final payment</w:t>
      </w:r>
      <w:r>
        <w:t xml:space="preserve"> </w:t>
      </w:r>
      <w:r>
        <w:t xml:space="preserve">(RUB 825,696) due within ten (10) business days following completion of the post-delivery support period.</w:t>
      </w:r>
    </w:p>
    <w:p>
      <w:pPr>
        <w:pStyle w:val="FirstParagraph"/>
      </w:pPr>
      <w:r>
        <w:t xml:space="preserve">Late payments shall accrue interest at a rate of 0.1% per calendar day in accordance with Article 317.1 of the Civil Code of the Russian Federation.</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Russia Moscow.</w:t>
      </w:r>
    </w:p>
    <w:p>
      <w:pPr>
        <w:numPr>
          <w:ilvl w:val="0"/>
          <w:numId w:val="1002"/>
        </w:numPr>
        <w:pStyle w:val="Compact"/>
      </w:pPr>
      <w:r>
        <w:t xml:space="preserve">The Mathematician engaged under this contract shall comply with all applicable Russian Federation labor regulations, data protection laws (Federal Law No. 152-FZ), and intellectual property statutes.</w:t>
      </w:r>
    </w:p>
    <w:p>
      <w:pPr>
        <w:numPr>
          <w:ilvl w:val="0"/>
          <w:numId w:val="1002"/>
        </w:numPr>
        <w:pStyle w:val="Compact"/>
      </w:pPr>
      <w:r>
        <w:t xml:space="preserve">All mathematical models, code, reports, and documentation produced by the Mathematician during the engagement shall become the exclusive property of the client upon full payment.</w:t>
      </w:r>
    </w:p>
    <w:p>
      <w:pPr>
        <w:numPr>
          <w:ilvl w:val="0"/>
          <w:numId w:val="1002"/>
        </w:numPr>
        <w:pStyle w:val="Compact"/>
      </w:pPr>
      <w:r>
        <w:t xml:space="preserve">Either party may terminate this engagement with fourteen (14) days' written notice. In the event of early termination, the client shall pay for all services rendered up to the termination date.</w:t>
      </w:r>
    </w:p>
    <w:p>
      <w:pPr>
        <w:numPr>
          <w:ilvl w:val="0"/>
          <w:numId w:val="1002"/>
        </w:numPr>
        <w:pStyle w:val="Compact"/>
      </w:pPr>
      <w:r>
        <w:t xml:space="preserve">This Quotation Estimate does not constitute a final contract. A formal service agreement shall be executed prior to the commencement of work, incorporating all terms herein.</w:t>
      </w:r>
    </w:p>
    <w:p>
      <w:pPr>
        <w:numPr>
          <w:ilvl w:val="0"/>
          <w:numId w:val="1002"/>
        </w:numPr>
        <w:pStyle w:val="Compact"/>
      </w:pPr>
      <w:r>
        <w:t xml:space="preserve">All communications, deliverables, and documentation related to this Quotation Estimate shall be conducted in English, with optional Russian-language translations provided at no additional cost for regulatory filings within Russia Moscow.</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scope, and pricing outlined herein for the engagement of the Mathematician in Russia Moscow.</w:t>
      </w:r>
    </w:p>
    <w:p>
      <w:pPr>
        <w:pStyle w:val="BodyText"/>
      </w:pPr>
      <w:r>
        <w:rPr>
          <w:bCs/>
          <w:b/>
        </w:rPr>
        <w:t xml:space="preserve">For Vector Analytics &amp; Mathematical Consulting LLC:</w:t>
      </w:r>
    </w:p>
    <w:p>
      <w:pPr>
        <w:pStyle w:val="BodyText"/>
      </w:pPr>
      <w:r>
        <w:t xml:space="preserve">Alexander M. Petrov, Managing Director</w:t>
      </w:r>
    </w:p>
    <w:p>
      <w:pPr>
        <w:pStyle w:val="BodyText"/>
      </w:pPr>
      <w:r>
        <w:t xml:space="preserve">Date: _______________</w:t>
      </w:r>
    </w:p>
    <w:p>
      <w:pPr>
        <w:pStyle w:val="BodyText"/>
      </w:pPr>
      <w:r>
        <w:rPr>
          <w:bCs/>
          <w:b/>
        </w:rPr>
        <w:t xml:space="preserve">For the Client (State Scientific Research Institute):</w:t>
      </w:r>
    </w:p>
    <w:p>
      <w:pPr>
        <w:pStyle w:val="BodyText"/>
      </w:pPr>
      <w:r>
        <w:t xml:space="preserve">Dr. Elena V. Sokolova, Chief Research Director</w:t>
      </w:r>
    </w:p>
    <w:p>
      <w:pPr>
        <w:pStyle w:val="BodyText"/>
      </w:pPr>
      <w:r>
        <w:t xml:space="preserve">Date: _______________</w:t>
      </w:r>
    </w:p>
    <w:p>
      <w:pPr>
        <w:pStyle w:val="BodyText"/>
      </w:pPr>
      <w:r>
        <w:t xml:space="preserve">Quotation Estimate QE-2025-0417 — Vector Analytics &amp; Mathematical Consulting LLC — Moscow, Russia Moscow</w:t>
      </w:r>
      <w:r>
        <w:br/>
      </w:r>
      <w:r>
        <w:t xml:space="preserve">This document is generated electronically and is valid without a physical seal. © 2025.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Russia Moscow</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file>