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asidh-academic-consultancy-llc"/>
    <w:p>
      <w:pPr>
        <w:pStyle w:val="Heading1"/>
      </w:pPr>
      <w:r>
        <w:t xml:space="preserve">AL-RASIDH ACADEMIC CONSULTANCY LLC</w:t>
      </w:r>
    </w:p>
    <w:p>
      <w:pPr>
        <w:pStyle w:val="FirstParagraph"/>
      </w:pPr>
      <w:r>
        <w:t xml:space="preserve">Office Tower 7, King Fahd Road, Al Olaya District, Riyadh 12212, Saudi Arabia</w:t>
      </w:r>
    </w:p>
    <w:p>
      <w:pPr>
        <w:pStyle w:val="BodyText"/>
      </w:pPr>
      <w:r>
        <w:t xml:space="preserve">Tel: +966 11 456 7890 | Email: quotations@alrasidh-consultancy.sa</w:t>
      </w:r>
    </w:p>
    <w:p>
      <w:pPr>
        <w:pStyle w:val="BodyText"/>
      </w:pPr>
      <w:r>
        <w:t xml:space="preserve">CR No. 1010456789 | VAT No. 310123456700003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QE-2025-RYD-0472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Saudi Arabia Riyadh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Riyadh, Saudi Arabia</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[Internal Reference]</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Al-Rasidh Academic Consultancy LLC to provide a comprehensive and transparent cost breakdown for the engagement of a qualified</w:t>
      </w:r>
      <w:r>
        <w:t xml:space="preserve"> </w:t>
      </w:r>
      <w:r>
        <w:t xml:space="preserve">Mathematician</w:t>
      </w:r>
      <w:r>
        <w:t xml:space="preserve"> </w:t>
      </w:r>
      <w:r>
        <w:t xml:space="preserve">to deliver specialized academic and research services within the city of</w:t>
      </w:r>
      <w:r>
        <w:t xml:space="preserve"> </w:t>
      </w:r>
      <w:r>
        <w:t xml:space="preserve">Saudi Arabia Riyadh</w:t>
      </w:r>
      <w:r>
        <w:t xml:space="preserve">. This document outlines the full scope of professional services, associated fees, deliverables, and contractual terms governing the engagement. The</w:t>
      </w:r>
      <w:r>
        <w:t xml:space="preserve"> </w:t>
      </w:r>
      <w:r>
        <w:t xml:space="preserve">Mathematician</w:t>
      </w:r>
      <w:r>
        <w:t xml:space="preserve"> </w:t>
      </w:r>
      <w:r>
        <w:t xml:space="preserve">will be deployed to support the client's ongoing research initiatives, curriculum development, and quantitative analysis projects as specified in the attached Statement of Work. All pricing in this</w:t>
      </w:r>
      <w:r>
        <w:t xml:space="preserve"> </w:t>
      </w:r>
      <w:r>
        <w:t xml:space="preserve">Quotation Estimate</w:t>
      </w:r>
      <w:r>
        <w:t xml:space="preserve"> </w:t>
      </w:r>
      <w:r>
        <w:t xml:space="preserve">is presented in Saudi Riyals (SAR) and is subject to the applicable Value Added Tax (VAT) at the prevailing rate of 15% as mandated by the Zakat, Tax and Customs Authority (ZATCA) of Saudi Arabia.</w:t>
      </w:r>
    </w:p>
    <w:p>
      <w:pPr>
        <w:pStyle w:val="BodyText"/>
      </w:pPr>
      <w:r>
        <w:t xml:space="preserve">2. Scope of Services – Mathematician Engagement</w:t>
      </w:r>
    </w:p>
    <w:p>
      <w:pPr>
        <w:pStyle w:val="BodyTex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will provide the following professional services in</w:t>
      </w:r>
      <w:r>
        <w:t xml:space="preserve"> </w:t>
      </w:r>
      <w:r>
        <w:t xml:space="preserve">Saudi Arabia Riyadh</w:t>
      </w:r>
      <w:r>
        <w:t xml:space="preserve">:</w:t>
      </w:r>
    </w:p>
    <w:p>
      <w:pPr>
        <w:numPr>
          <w:ilvl w:val="0"/>
          <w:numId w:val="1001"/>
        </w:numPr>
        <w:pStyle w:val="Compact"/>
      </w:pPr>
      <w:r>
        <w:t xml:space="preserve">Advanced mathematical modeling and simulation for industrial and engineering applications.</w:t>
      </w:r>
    </w:p>
    <w:p>
      <w:pPr>
        <w:numPr>
          <w:ilvl w:val="0"/>
          <w:numId w:val="1001"/>
        </w:numPr>
        <w:pStyle w:val="Compact"/>
      </w:pPr>
      <w:r>
        <w:t xml:space="preserve">Development and review of quantitative curricula for university-level mathematics and applied statistics programs.</w:t>
      </w:r>
    </w:p>
    <w:p>
      <w:pPr>
        <w:numPr>
          <w:ilvl w:val="0"/>
          <w:numId w:val="1001"/>
        </w:numPr>
        <w:pStyle w:val="Compact"/>
      </w:pPr>
      <w:r>
        <w:t xml:space="preserve">Statistical analysis, data interpretation, and predictive modeling for research and development projects.</w:t>
      </w:r>
    </w:p>
    <w:p>
      <w:pPr>
        <w:numPr>
          <w:ilvl w:val="0"/>
          <w:numId w:val="1001"/>
        </w:numPr>
        <w:pStyle w:val="Compact"/>
      </w:pPr>
      <w:r>
        <w:t xml:space="preserve">Supervision and mentorship of graduate students in pure and applied mathematics disciplines.</w:t>
      </w:r>
    </w:p>
    <w:p>
      <w:pPr>
        <w:numPr>
          <w:ilvl w:val="0"/>
          <w:numId w:val="1001"/>
        </w:numPr>
        <w:pStyle w:val="Compact"/>
      </w:pPr>
      <w:r>
        <w:t xml:space="preserve">Preparation of peer-reviewed research publications and technical white papers.</w:t>
      </w:r>
    </w:p>
    <w:p>
      <w:pPr>
        <w:numPr>
          <w:ilvl w:val="0"/>
          <w:numId w:val="1001"/>
        </w:numPr>
        <w:pStyle w:val="Compact"/>
      </w:pPr>
      <w:r>
        <w:t xml:space="preserve">Consultation on optimization algorithms, numerical methods, and computational mathematics.</w:t>
      </w:r>
    </w:p>
    <w:p>
      <w:pPr>
        <w:numPr>
          <w:ilvl w:val="0"/>
          <w:numId w:val="1001"/>
        </w:numPr>
        <w:pStyle w:val="Compact"/>
      </w:pPr>
      <w:r>
        <w:t xml:space="preserve">Participation in academic committees, accreditation reviews, and quality assurance panels in Riyadh.</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Mathematician – Full-time engagement (research &amp; modeling)</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Curriculum Development &amp; Review (Applied Mathematics)</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Statistical Analysis &amp; Predictive Modeling Workshops</w:t>
            </w:r>
          </w:p>
        </w:tc>
        <w:tc>
          <w:tcPr/>
          <w:p>
            <w:pPr>
              <w:pStyle w:val="Compact"/>
              <w:jc w:val="left"/>
            </w:pPr>
            <w:r>
              <w:t xml:space="preserve">4 sessions</w:t>
            </w:r>
          </w:p>
        </w:tc>
        <w:tc>
          <w:tcPr/>
          <w:p>
            <w:pPr>
              <w:pStyle w:val="Compact"/>
              <w:jc w:val="left"/>
            </w:pPr>
            <w:r>
              <w:t xml:space="preserve">8,500 / session</w:t>
            </w:r>
          </w:p>
        </w:tc>
        <w:tc>
          <w:tcPr/>
          <w:p>
            <w:pPr>
              <w:pStyle w:val="Compact"/>
              <w:jc w:val="left"/>
            </w:pPr>
            <w:r>
              <w:t xml:space="preserve">34,000</w:t>
            </w:r>
          </w:p>
        </w:tc>
      </w:tr>
      <w:tr>
        <w:tc>
          <w:tcPr/>
          <w:p>
            <w:pPr>
              <w:pStyle w:val="Compact"/>
              <w:jc w:val="left"/>
            </w:pPr>
            <w:r>
              <w:t xml:space="preserve">4</w:t>
            </w:r>
          </w:p>
        </w:tc>
        <w:tc>
          <w:tcPr/>
          <w:p>
            <w:pPr>
              <w:pStyle w:val="Compact"/>
              <w:jc w:val="left"/>
            </w:pPr>
            <w:r>
              <w:t xml:space="preserve">Graduate Student Supervision &amp; Mentorship</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Research Publication Support (2 peer-reviewed papers)</w:t>
            </w:r>
          </w:p>
        </w:tc>
        <w:tc>
          <w:tcPr/>
          <w:p>
            <w:pPr>
              <w:pStyle w:val="Compact"/>
              <w:jc w:val="left"/>
            </w:pPr>
            <w:r>
              <w:t xml:space="preserve">2 papers</w:t>
            </w:r>
          </w:p>
        </w:tc>
        <w:tc>
          <w:tcPr/>
          <w:p>
            <w:pPr>
              <w:pStyle w:val="Compact"/>
              <w:jc w:val="left"/>
            </w:pPr>
            <w:r>
              <w:t xml:space="preserve">15,000 / paper</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Travel, Accommodation &amp; Local Transportation in Riyadh</w:t>
            </w:r>
          </w:p>
        </w:tc>
        <w:tc>
          <w:tcPr/>
          <w:p>
            <w:pPr>
              <w:pStyle w:val="Compact"/>
              <w:jc w:val="left"/>
            </w:pPr>
            <w:r>
              <w:t xml:space="preserve">6 months</w:t>
            </w:r>
          </w:p>
        </w:tc>
        <w:tc>
          <w:tcPr/>
          <w:p>
            <w:pPr>
              <w:pStyle w:val="Compact"/>
              <w:jc w:val="left"/>
            </w:pPr>
            <w:r>
              <w:t xml:space="preserve">5,000 / month</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Software Licenses &amp; Computational Resources</w:t>
            </w:r>
          </w:p>
        </w:tc>
        <w:tc>
          <w:tcPr/>
          <w:p>
            <w:pPr>
              <w:pStyle w:val="Compact"/>
              <w:jc w:val="left"/>
            </w:pPr>
            <w:r>
              <w:t xml:space="preserve">1 year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Project Management &amp; Administrative Oversight</w:t>
            </w:r>
          </w:p>
        </w:tc>
        <w:tc>
          <w:tcPr/>
          <w:p>
            <w:pPr>
              <w:pStyle w:val="Compact"/>
              <w:jc w:val="left"/>
            </w:pPr>
            <w:r>
              <w:t xml:space="preserve">6 months</w:t>
            </w:r>
          </w:p>
        </w:tc>
        <w:tc>
          <w:tcPr/>
          <w:p>
            <w:pPr>
              <w:pStyle w:val="Compact"/>
              <w:jc w:val="left"/>
            </w:pPr>
            <w:r>
              <w:t xml:space="preserve">6,000 / month</w:t>
            </w:r>
          </w:p>
        </w:tc>
        <w:tc>
          <w:tcPr/>
          <w:p>
            <w:pPr>
              <w:pStyle w:val="Compact"/>
              <w:jc w:val="left"/>
            </w:pPr>
            <w:r>
              <w:t xml:space="preserve">36,000</w:t>
            </w:r>
          </w:p>
        </w:tc>
      </w:tr>
      <w:tr>
        <w:tc>
          <w:tcPr>
            <w:gridSpan w:val="4"/>
          </w:tcPr>
          <w:p>
            <w:pPr>
              <w:pStyle w:val="Compact"/>
              <w:jc w:val="left"/>
            </w:pPr>
            <w:r>
              <w:t xml:space="preserve">Subtotal (SAR)</w:t>
            </w:r>
          </w:p>
        </w:tc>
        <w:tc>
          <w:tcPr/>
          <w:p>
            <w:pPr>
              <w:pStyle w:val="Compact"/>
              <w:jc w:val="left"/>
            </w:pPr>
            <w:r>
              <w:t xml:space="preserve">525,000</w:t>
            </w:r>
          </w:p>
        </w:tc>
      </w:tr>
      <w:tr>
        <w:tc>
          <w:tcPr>
            <w:gridSpan w:val="4"/>
          </w:tcPr>
          <w:p>
            <w:pPr>
              <w:pStyle w:val="Compact"/>
              <w:jc w:val="left"/>
            </w:pPr>
            <w:r>
              <w:t xml:space="preserve">VAT @ 15% (SAR)</w:t>
            </w:r>
          </w:p>
        </w:tc>
        <w:tc>
          <w:tcPr/>
          <w:p>
            <w:pPr>
              <w:pStyle w:val="Compact"/>
              <w:jc w:val="left"/>
            </w:pPr>
            <w:r>
              <w:t xml:space="preserve">78,750</w:t>
            </w:r>
          </w:p>
        </w:tc>
      </w:tr>
      <w:tr>
        <w:tc>
          <w:tcPr>
            <w:gridSpan w:val="4"/>
          </w:tcPr>
          <w:p>
            <w:pPr>
              <w:pStyle w:val="Compact"/>
              <w:jc w:val="left"/>
            </w:pPr>
            <w:r>
              <w:t xml:space="preserve">Grand Total (SAR)</w:t>
            </w:r>
          </w:p>
        </w:tc>
        <w:tc>
          <w:tcPr/>
          <w:p>
            <w:pPr>
              <w:pStyle w:val="Compact"/>
              <w:jc w:val="left"/>
            </w:pPr>
            <w:r>
              <w:t xml:space="preserve">603,750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stipulates the following payment milestones for the</w:t>
      </w:r>
      <w:r>
        <w:t xml:space="preserve"> </w:t>
      </w:r>
      <w:r>
        <w:t xml:space="preserve">Mathematician</w:t>
      </w:r>
      <w:r>
        <w:t xml:space="preserve"> </w:t>
      </w:r>
      <w:r>
        <w:t xml:space="preserve">engagement in</w:t>
      </w:r>
      <w:r>
        <w:t xml:space="preserve"> </w:t>
      </w:r>
      <w:r>
        <w:t xml:space="preserve">Saudi Arabia Riyadh</w:t>
      </w:r>
      <w:r>
        <w:t xml:space="preserve">:</w:t>
      </w:r>
    </w:p>
    <w:p>
      <w:pPr>
        <w:numPr>
          <w:ilvl w:val="0"/>
          <w:numId w:val="1002"/>
        </w:numPr>
        <w:pStyle w:val="Compact"/>
      </w:pPr>
      <w:r>
        <w:rPr>
          <w:bCs/>
          <w:b/>
        </w:rPr>
        <w:t xml:space="preserve">30% Advance Payment:</w:t>
      </w:r>
      <w:r>
        <w:t xml:space="preserve"> </w:t>
      </w:r>
      <w:r>
        <w:t xml:space="preserve">Due upon signed acceptance of this Quotation Estimate (SAR 181,125).</w:t>
      </w:r>
    </w:p>
    <w:p>
      <w:pPr>
        <w:numPr>
          <w:ilvl w:val="0"/>
          <w:numId w:val="1002"/>
        </w:numPr>
        <w:pStyle w:val="Compact"/>
      </w:pPr>
      <w:r>
        <w:rPr>
          <w:bCs/>
          <w:b/>
        </w:rPr>
        <w:t xml:space="preserve">40% Mid-Project Payment:</w:t>
      </w:r>
      <w:r>
        <w:t xml:space="preserve"> </w:t>
      </w:r>
      <w:r>
        <w:t xml:space="preserve">Due at the completion of Month 3 (SAR 241,500).</w:t>
      </w:r>
    </w:p>
    <w:p>
      <w:pPr>
        <w:numPr>
          <w:ilvl w:val="0"/>
          <w:numId w:val="1002"/>
        </w:numPr>
        <w:pStyle w:val="Compact"/>
      </w:pPr>
      <w:r>
        <w:rPr>
          <w:bCs/>
          <w:b/>
        </w:rPr>
        <w:t xml:space="preserve">30% Final Payment:</w:t>
      </w:r>
      <w:r>
        <w:t xml:space="preserve"> </w:t>
      </w:r>
      <w:r>
        <w:t xml:space="preserve">Due upon project delivery and final acceptance (SAR 181,125).</w:t>
      </w:r>
    </w:p>
    <w:p>
      <w:pPr>
        <w:pStyle w:val="FirstParagraph"/>
      </w:pPr>
      <w:r>
        <w:t xml:space="preserve">All payments shall be made via bank transfer to the account designated by Al-Rasidh Academic Consultancy LLC. Invoices will be issued in accordance with ZATCA e-invoicing requirements applicable in Saudi Arabia.</w:t>
      </w:r>
    </w:p>
    <w:p>
      <w:pPr>
        <w:pStyle w:val="BodyText"/>
      </w:pPr>
      <w:r>
        <w:t xml:space="preserve">5. Terms and Conditions</w:t>
      </w:r>
    </w:p>
    <w:p>
      <w:pPr>
        <w:pStyle w:val="BodyText"/>
      </w:pPr>
      <w:r>
        <w:t xml:space="preserve">5.1. 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Mathematician</w:t>
      </w:r>
      <w:r>
        <w:t xml:space="preserve"> </w:t>
      </w:r>
      <w:r>
        <w:t xml:space="preserve">services may be subject to revision based on market conditions in</w:t>
      </w:r>
      <w:r>
        <w:t xml:space="preserve"> </w:t>
      </w:r>
      <w:r>
        <w:t xml:space="preserve">Saudi Arabia Riyadh</w:t>
      </w:r>
      <w:r>
        <w:t xml:space="preserve">.</w:t>
      </w:r>
    </w:p>
    <w:p>
      <w:pPr>
        <w:pStyle w:val="BodyText"/>
      </w:pPr>
      <w:r>
        <w:t xml:space="preserve">5.2. The</w:t>
      </w:r>
      <w:r>
        <w:t xml:space="preserve"> </w:t>
      </w:r>
      <w:r>
        <w:t xml:space="preserve">Mathematician</w:t>
      </w:r>
      <w:r>
        <w:t xml:space="preserve"> </w:t>
      </w:r>
      <w:r>
        <w:t xml:space="preserve">shall comply with all applicable Saudi Arabian labor laws, professional regulations, and the client's internal policies during the engagement period.</w:t>
      </w:r>
    </w:p>
    <w:p>
      <w:pPr>
        <w:pStyle w:val="BodyText"/>
      </w:pPr>
      <w:r>
        <w:t xml:space="preserve">5.3. All intellectual property, research outputs, and deliverables produced under this engagement shall be the sole property of the client, unless otherwise agreed in writing.</w:t>
      </w:r>
    </w:p>
    <w:p>
      <w:pPr>
        <w:pStyle w:val="BodyText"/>
      </w:pPr>
      <w:r>
        <w:t xml:space="preserve">5.4. Either party may terminate this agreement with thirty (30) days' written notice. In the event of early termination, fees for services rendered up to the termination date shall be payable in full.</w:t>
      </w:r>
    </w:p>
    <w:p>
      <w:pPr>
        <w:pStyle w:val="BodyText"/>
      </w:pPr>
      <w:r>
        <w:t xml:space="preserve">5.5. 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BodyText"/>
      </w:pPr>
      <w:r>
        <w:t xml:space="preserve">5.6. Any disputes arising from this engagement shall be resolved through arbitration in Riyadh, Saudi Arabia, in accordance with the rules of the Saudi Center for Commercial Arbitration.</w:t>
      </w:r>
    </w:p>
    <w:p>
      <w:pPr>
        <w:pStyle w:val="BodyText"/>
      </w:pPr>
      <w:r>
        <w:t xml:space="preserve">5.7. The</w:t>
      </w:r>
      <w:r>
        <w:t xml:space="preserve"> </w:t>
      </w:r>
      <w:r>
        <w:t xml:space="preserve">Mathematician</w:t>
      </w:r>
      <w:r>
        <w:t xml:space="preserve"> </w:t>
      </w:r>
      <w:r>
        <w:t xml:space="preserve">is required to maintain professional confidentiality regarding all client data, proprietary information, and unpublished research materials encountered during the engagement in</w:t>
      </w:r>
      <w:r>
        <w:t xml:space="preserve"> </w:t>
      </w:r>
      <w:r>
        <w:t xml:space="preserve">Saudi Arabia Riyadh</w:t>
      </w:r>
      <w:r>
        <w:t xml:space="preserve">.</w:t>
      </w:r>
    </w:p>
    <w:p>
      <w:pPr>
        <w:pStyle w:val="BodyText"/>
      </w:pPr>
      <w:r>
        <w:t xml:space="preserve">6. Acceptance and Authorization</w:t>
      </w:r>
    </w:p>
    <w:p>
      <w:pPr>
        <w:pStyle w:val="BodyText"/>
      </w:pPr>
      <w:r>
        <w:t xml:space="preserve">By signing below, both parties acknowledge and agree to the terms, conditions, and pricing outlined in this</w:t>
      </w:r>
      <w:r>
        <w:t xml:space="preserve"> </w:t>
      </w:r>
      <w:r>
        <w:t xml:space="preserve">Quotation Estimate</w:t>
      </w:r>
      <w:r>
        <w:t xml:space="preserve"> </w:t>
      </w:r>
      <w:r>
        <w:t xml:space="preserve">for the</w:t>
      </w:r>
      <w:r>
        <w:t xml:space="preserve"> </w:t>
      </w:r>
      <w:r>
        <w:t xml:space="preserve">Mathematician</w:t>
      </w:r>
      <w:r>
        <w:t xml:space="preserve"> </w:t>
      </w:r>
      <w:r>
        <w:t xml:space="preserve">services to be delivered in</w:t>
      </w:r>
      <w:r>
        <w:t xml:space="preserve"> </w:t>
      </w:r>
      <w:r>
        <w:t xml:space="preserve">Saudi Arabia Riyadh</w:t>
      </w:r>
      <w:r>
        <w:t xml:space="preserve">.</w:t>
      </w:r>
    </w:p>
    <w:p>
      <w:pPr>
        <w:pStyle w:val="BodyText"/>
      </w:pPr>
      <w:r>
        <w:rPr>
          <w:bCs/>
          <w:b/>
        </w:rPr>
        <w:t xml:space="preserve">For Al-Rasidh Academic Consultancy 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This Quotation Estimate (QE-2025-RYD-0472) is issued by Al-Rasidh Academic Consultancy LLC for Mathematician services in Saudi Arabia Riyadh. This document is confidential and intended solely for the named client. Unauthorized reproduction or distribution is prohibited.</w:t>
      </w:r>
    </w:p>
    <w:p>
      <w:pPr>
        <w:pStyle w:val="BodyText"/>
      </w:pPr>
      <w:r>
        <w:t xml:space="preserve">© 2025 Al-Rasidh Academic Consultancy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Saudi Arabia Riyadh</dc:title>
  <dc:creator/>
  <dc:language>en</dc:language>
  <cp:keywords/>
  <dcterms:created xsi:type="dcterms:W3CDTF">2026-10-10T03:37:12Z</dcterms:created>
  <dcterms:modified xsi:type="dcterms:W3CDTF">2026-10-10T03:37:12Z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