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t xml:space="preserve">Professional Mathematician Services — Spain Barcelona</w:t>
      </w:r>
    </w:p>
    <w:p>
      <w:pPr>
        <w:pStyle w:val="BodyText"/>
      </w:pPr>
      <w:r>
        <w:t xml:space="preserve">Ref: QTE-BCN-2025-0472 | Document Type: Formal Quotation Estimate</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Date of Issue</w:t>
            </w:r>
          </w:p>
        </w:tc>
        <w:tc>
          <w:tcPr/>
          <w:p>
            <w:pPr>
              <w:pStyle w:val="Compact"/>
              <w:jc w:val="left"/>
            </w:pPr>
            <w:r>
              <w:t xml:space="preserve">15 June 2025</w:t>
            </w:r>
          </w:p>
        </w:tc>
        <w:tc>
          <w:tcPr/>
          <w:p>
            <w:pPr>
              <w:pStyle w:val="Compact"/>
              <w:jc w:val="left"/>
            </w:pPr>
            <w:r>
              <w:t xml:space="preserve">Quotation Validity</w:t>
            </w:r>
          </w:p>
        </w:tc>
        <w:tc>
          <w:tcPr/>
          <w:p>
            <w:pPr>
              <w:pStyle w:val="Compact"/>
              <w:jc w:val="left"/>
            </w:pPr>
            <w:r>
              <w:t xml:space="preserve">30 June 2025 (30 days)</w:t>
            </w:r>
          </w:p>
        </w:tc>
      </w:tr>
      <w:tr>
        <w:tc>
          <w:tcPr/>
          <w:p>
            <w:pPr>
              <w:pStyle w:val="Compact"/>
              <w:jc w:val="left"/>
            </w:pPr>
            <w:r>
              <w:t xml:space="preserve">Prepared By</w:t>
            </w:r>
          </w:p>
        </w:tc>
        <w:tc>
          <w:tcPr/>
          <w:p>
            <w:pPr>
              <w:pStyle w:val="Compact"/>
              <w:jc w:val="left"/>
            </w:pPr>
            <w:r>
              <w:t xml:space="preserve">Dr. Elena Marchñon, Lead Mathematician</w:t>
            </w:r>
          </w:p>
        </w:tc>
        <w:tc>
          <w:tcPr/>
          <w:p>
            <w:pPr>
              <w:pStyle w:val="Compact"/>
              <w:jc w:val="left"/>
            </w:pPr>
            <w:r>
              <w:t xml:space="preserve">Service Location</w:t>
            </w:r>
          </w:p>
        </w:tc>
        <w:tc>
          <w:tcPr/>
          <w:p>
            <w:pPr>
              <w:pStyle w:val="Compact"/>
              <w:jc w:val="left"/>
            </w:pPr>
            <w:r>
              <w:t xml:space="preserve">Spain Barcelona, 08008, Barcelona, Catalonia</w:t>
            </w:r>
          </w:p>
        </w:tc>
      </w:tr>
      <w:tr>
        <w:tc>
          <w:tcPr/>
          <w:p>
            <w:pPr>
              <w:pStyle w:val="Compact"/>
              <w:jc w:val="left"/>
            </w:pPr>
            <w:r>
              <w:t xml:space="preserve">Client Name</w:t>
            </w:r>
          </w:p>
        </w:tc>
        <w:tc>
          <w:tcPr/>
          <w:p>
            <w:pPr>
              <w:pStyle w:val="Compact"/>
              <w:jc w:val="left"/>
            </w:pPr>
            <w:r>
              <w:t xml:space="preserve">Barcelona Applied Sciences Consortium, S.L.</w:t>
            </w:r>
          </w:p>
        </w:tc>
        <w:tc>
          <w:tcPr/>
          <w:p>
            <w:pPr>
              <w:pStyle w:val="Compact"/>
              <w:jc w:val="left"/>
            </w:pPr>
            <w:r>
              <w:t xml:space="preserve">Client Address</w:t>
            </w:r>
          </w:p>
        </w:tc>
        <w:tc>
          <w:tcPr/>
          <w:p>
            <w:pPr>
              <w:pStyle w:val="Compact"/>
              <w:jc w:val="left"/>
            </w:pPr>
            <w:r>
              <w:t xml:space="preserve">Av. Diagonal 620, 08021 Barcelona, Spain</w:t>
            </w:r>
          </w:p>
        </w:tc>
      </w:tr>
      <w:tr>
        <w:tc>
          <w:tcPr/>
          <w:p>
            <w:pPr>
              <w:pStyle w:val="Compact"/>
              <w:jc w:val="left"/>
            </w:pPr>
            <w:r>
              <w:t xml:space="preserve">Contact Person</w:t>
            </w:r>
          </w:p>
        </w:tc>
        <w:tc>
          <w:tcPr/>
          <w:p>
            <w:pPr>
              <w:pStyle w:val="Compact"/>
              <w:jc w:val="left"/>
            </w:pPr>
            <w:r>
              <w:t xml:space="preserve">M. Serrat, Procurement Director</w:t>
            </w:r>
          </w:p>
        </w:tc>
        <w:tc>
          <w:tcPr/>
          <w:p>
            <w:pPr>
              <w:pStyle w:val="Compact"/>
              <w:jc w:val="left"/>
            </w:pPr>
            <w:r>
              <w:t xml:space="preserve">Contact Email</w:t>
            </w:r>
          </w:p>
        </w:tc>
        <w:tc>
          <w:tcPr/>
          <w:p>
            <w:pPr>
              <w:pStyle w:val="Compact"/>
              <w:jc w:val="left"/>
            </w:pPr>
            <w:r>
              <w:t xml:space="preserve">procurement@basconsortium.es</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in accordance with the formal request submitted by the Barcelona Applied Sciences Consortium, S.L., for the engagement of a qualified</w:t>
      </w:r>
      <w:r>
        <w:t xml:space="preserve"> </w:t>
      </w:r>
      <w:r>
        <w:t xml:space="preserve">Mathematician</w:t>
      </w:r>
      <w:r>
        <w:t xml:space="preserve"> </w:t>
      </w:r>
      <w:r>
        <w:t xml:space="preserve">to provide advanced analytical, modelling, and research support services. The scope of this engagement is specifically tailored to the operational and academic requirements of the client, with all deliverables to be executed within the jurisdiction of</w:t>
      </w:r>
      <w:r>
        <w:t xml:space="preserve"> </w:t>
      </w:r>
      <w:r>
        <w:t xml:space="preserve">Spain Barcelona</w:t>
      </w:r>
      <w:r>
        <w:t xml:space="preserve">, in full compliance with the applicable Spanish labour regulations, the Catalan regional employment framework, and the professional standards set forth by the Royal Spanish Mathematical Society (Real Sociedad Matemática Española).</w:t>
      </w:r>
    </w:p>
    <w:p>
      <w:pPr>
        <w:pStyle w:val="BodyText"/>
      </w:pPr>
      <w:r>
        <w:t xml:space="preserve">The figures presented in this</w:t>
      </w:r>
      <w:r>
        <w:t xml:space="preserve"> </w:t>
      </w:r>
      <w:r>
        <w:t xml:space="preserve">Quotation Estimate</w:t>
      </w:r>
      <w:r>
        <w:t xml:space="preserve"> </w:t>
      </w:r>
      <w:r>
        <w:t xml:space="preserve">represent a comprehensive, all-inclusive projection of costs associated with the provision of</w:t>
      </w:r>
      <w:r>
        <w:t xml:space="preserve"> </w:t>
      </w:r>
      <w:r>
        <w:t xml:space="preserve">Mathematician</w:t>
      </w:r>
      <w:r>
        <w:t xml:space="preserve"> </w:t>
      </w:r>
      <w:r>
        <w:t xml:space="preserve">services over the agreed contract period. All pricing is denominated in Euros (EUR) and is subject to the applicable Value Added Tax (VAT / IVA) at the current rate of 21% as governed by the Spanish tax authority (Agencia Estatal de Administración Tributaria).</w:t>
      </w:r>
    </w:p>
    <w:bookmarkEnd w:id="21"/>
    <w:bookmarkStart w:id="22" w:name="Xaf4d0d602a3272d04692e8eba4ecf3281db41a3"/>
    <w:p>
      <w:pPr>
        <w:pStyle w:val="Heading2"/>
      </w:pPr>
      <w:r>
        <w:t xml:space="preserve">2. Scope of Services — Mathematician Engagement</w:t>
      </w:r>
    </w:p>
    <w:p>
      <w:pPr>
        <w:pStyle w:val="FirstParagraph"/>
      </w:pPr>
      <w:r>
        <w:t xml:space="preserve">The</w:t>
      </w:r>
      <w:r>
        <w:t xml:space="preserve"> </w:t>
      </w:r>
      <w:r>
        <w:t xml:space="preserve">Mathematician</w:t>
      </w:r>
      <w:r>
        <w:t xml:space="preserve"> </w:t>
      </w:r>
      <w:r>
        <w:t xml:space="preserve">engaged under this</w:t>
      </w:r>
      <w:r>
        <w:t xml:space="preserve"> </w:t>
      </w:r>
      <w:r>
        <w:t xml:space="preserve">Quotation Estimate</w:t>
      </w:r>
      <w:r>
        <w:t xml:space="preserve"> </w:t>
      </w:r>
      <w:r>
        <w:t xml:space="preserve">shall perform the following duties and deliverables, all to be carried out at the client's premises in</w:t>
      </w:r>
      <w:r>
        <w:t xml:space="preserve"> </w:t>
      </w:r>
      <w:r>
        <w:t xml:space="preserve">Spain Barcelona</w:t>
      </w:r>
      <w:r>
        <w:t xml:space="preserve"> </w:t>
      </w:r>
      <w:r>
        <w:t xml:space="preserve">or at mutually agreed remote locations within the metropolitan area of Barcelona:</w:t>
      </w:r>
    </w:p>
    <w:p>
      <w:pPr>
        <w:numPr>
          <w:ilvl w:val="0"/>
          <w:numId w:val="1001"/>
        </w:numPr>
        <w:pStyle w:val="Compact"/>
      </w:pPr>
      <w:r>
        <w:rPr>
          <w:bCs/>
          <w:b/>
        </w:rPr>
        <w:t xml:space="preserve">Advanced Statistical Modelling:</w:t>
      </w:r>
      <w:r>
        <w:t xml:space="preserve"> </w:t>
      </w:r>
      <w:r>
        <w:t xml:space="preserve">Design, implementation, and validation of multivariate statistical models for the client's applied research programmes, including Bayesian inference frameworks and stochastic process simulations.</w:t>
      </w:r>
    </w:p>
    <w:p>
      <w:pPr>
        <w:numPr>
          <w:ilvl w:val="0"/>
          <w:numId w:val="1001"/>
        </w:numPr>
        <w:pStyle w:val="Compact"/>
      </w:pPr>
      <w:r>
        <w:rPr>
          <w:bCs/>
          <w:b/>
        </w:rPr>
        <w:t xml:space="preserve">Optimisation and Operations Research:</w:t>
      </w:r>
      <w:r>
        <w:t xml:space="preserve"> </w:t>
      </w:r>
      <w:r>
        <w:t xml:space="preserve">Development of linear and non-linear optimisation algorithms to support the client's logistics and resource-allocation strategies within the Barcelona metropolitan corridor.</w:t>
      </w:r>
    </w:p>
    <w:p>
      <w:pPr>
        <w:numPr>
          <w:ilvl w:val="0"/>
          <w:numId w:val="1001"/>
        </w:numPr>
        <w:pStyle w:val="Compact"/>
      </w:pPr>
      <w:r>
        <w:rPr>
          <w:bCs/>
          <w:b/>
        </w:rPr>
        <w:t xml:space="preserve">Academic Supervision and Mentoring:</w:t>
      </w:r>
      <w:r>
        <w:t xml:space="preserve"> </w:t>
      </w:r>
      <w:r>
        <w:t xml:space="preserve">Provision of weekly supervisory sessions for a cohort of up to six postgraduate research students affiliated with the Universitat de Barcelona, ensuring alignment with the doctoral programme requirements of the Faculty of Mathematics.</w:t>
      </w:r>
    </w:p>
    <w:p>
      <w:pPr>
        <w:numPr>
          <w:ilvl w:val="0"/>
          <w:numId w:val="1001"/>
        </w:numPr>
        <w:pStyle w:val="Compact"/>
      </w:pPr>
      <w:r>
        <w:rPr>
          <w:bCs/>
          <w:b/>
        </w:rPr>
        <w:t xml:space="preserve">Technical Reporting:</w:t>
      </w:r>
      <w:r>
        <w:t xml:space="preserve"> </w:t>
      </w:r>
      <w:r>
        <w:t xml:space="preserve">Preparation of a minimum of four (4) peer-review-ready technical reports per quarter, documenting methodology, findings, and recommendations for the client's internal and external stakeholders.</w:t>
      </w:r>
    </w:p>
    <w:p>
      <w:pPr>
        <w:numPr>
          <w:ilvl w:val="0"/>
          <w:numId w:val="1001"/>
        </w:numPr>
        <w:pStyle w:val="Compact"/>
      </w:pPr>
      <w:r>
        <w:rPr>
          <w:bCs/>
          <w:b/>
        </w:rPr>
        <w:t xml:space="preserve">Collaborative Research:</w:t>
      </w:r>
      <w:r>
        <w:t xml:space="preserve"> </w:t>
      </w:r>
      <w:r>
        <w:t xml:space="preserve">Participation in at least two (2) joint research projects with the Institut de Ciències Fìsiques de la Matèria Condensada (ICFO) in Barcelona, contributing mathematical rigour to interdisciplinary physics-mathematics collaborations.</w:t>
      </w:r>
    </w:p>
    <w:p>
      <w:pPr>
        <w:numPr>
          <w:ilvl w:val="0"/>
          <w:numId w:val="1001"/>
        </w:numPr>
        <w:pStyle w:val="Compact"/>
      </w:pPr>
      <w:r>
        <w:rPr>
          <w:bCs/>
          <w:b/>
        </w:rPr>
        <w:t xml:space="preserve">Ad-hoc Consultation:</w:t>
      </w:r>
      <w:r>
        <w:t xml:space="preserve"> </w:t>
      </w:r>
      <w:r>
        <w:t xml:space="preserve">Availability for up to ten (10) hours per month of on-demand mathematical consultation for the client's engineering and data-science teams, to be scheduled in advance through the project management office in</w:t>
      </w:r>
      <w:r>
        <w:t xml:space="preserve"> </w:t>
      </w:r>
      <w:r>
        <w:t xml:space="preserve">Spain Barcelona</w:t>
      </w:r>
      <w:r>
        <w:t xml:space="preserve">.</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r>
      <w:tr>
        <w:tc>
          <w:tcPr/>
          <w:p>
            <w:pPr>
              <w:pStyle w:val="Compact"/>
              <w:jc w:val="left"/>
            </w:pPr>
            <w:r>
              <w:t xml:space="preserve">01</w:t>
            </w:r>
          </w:p>
        </w:tc>
        <w:tc>
          <w:tcPr/>
          <w:p>
            <w:pPr>
              <w:pStyle w:val="Compact"/>
              <w:jc w:val="left"/>
            </w:pPr>
            <w:r>
              <w:t xml:space="preserve">Senior Mathematician — Full-time professional engagement (40 hrs/week)</w:t>
            </w:r>
          </w:p>
        </w:tc>
        <w:tc>
          <w:tcPr/>
          <w:p>
            <w:pPr>
              <w:pStyle w:val="Compact"/>
              <w:jc w:val="left"/>
            </w:pPr>
            <w:r>
              <w:t xml:space="preserve">12 months</w:t>
            </w:r>
          </w:p>
        </w:tc>
        <w:tc>
          <w:tcPr/>
          <w:p>
            <w:pPr>
              <w:pStyle w:val="Compact"/>
              <w:jc w:val="left"/>
            </w:pPr>
            <w:r>
              <w:t xml:space="preserve">6,800.00 / month</w:t>
            </w:r>
          </w:p>
        </w:tc>
        <w:tc>
          <w:tcPr/>
          <w:p>
            <w:pPr>
              <w:pStyle w:val="Compact"/>
              <w:jc w:val="left"/>
            </w:pPr>
            <w:r>
              <w:t xml:space="preserve">81,600.00</w:t>
            </w:r>
          </w:p>
        </w:tc>
      </w:tr>
      <w:tr>
        <w:tc>
          <w:tcPr/>
          <w:p>
            <w:pPr>
              <w:pStyle w:val="Compact"/>
              <w:jc w:val="left"/>
            </w:pPr>
            <w:r>
              <w:t xml:space="preserve">02</w:t>
            </w:r>
          </w:p>
        </w:tc>
        <w:tc>
          <w:tcPr/>
          <w:p>
            <w:pPr>
              <w:pStyle w:val="Compact"/>
              <w:jc w:val="left"/>
            </w:pPr>
            <w:r>
              <w:t xml:space="preserve">Academic supervision and mentoring sessions (postgraduate cohort)</w:t>
            </w:r>
          </w:p>
        </w:tc>
        <w:tc>
          <w:tcPr/>
          <w:p>
            <w:pPr>
              <w:pStyle w:val="Compact"/>
              <w:jc w:val="left"/>
            </w:pPr>
            <w:r>
              <w:t xml:space="preserve">48 sessions</w:t>
            </w:r>
          </w:p>
        </w:tc>
        <w:tc>
          <w:tcPr/>
          <w:p>
            <w:pPr>
              <w:pStyle w:val="Compact"/>
              <w:jc w:val="left"/>
            </w:pPr>
            <w:r>
              <w:t xml:space="preserve">180.00 / session</w:t>
            </w:r>
          </w:p>
        </w:tc>
        <w:tc>
          <w:tcPr/>
          <w:p>
            <w:pPr>
              <w:pStyle w:val="Compact"/>
              <w:jc w:val="left"/>
            </w:pPr>
            <w:r>
              <w:t xml:space="preserve">8,640.00</w:t>
            </w:r>
          </w:p>
        </w:tc>
      </w:tr>
      <w:tr>
        <w:tc>
          <w:tcPr/>
          <w:p>
            <w:pPr>
              <w:pStyle w:val="Compact"/>
              <w:jc w:val="left"/>
            </w:pPr>
            <w:r>
              <w:t xml:space="preserve">03</w:t>
            </w:r>
          </w:p>
        </w:tc>
        <w:tc>
          <w:tcPr/>
          <w:p>
            <w:pPr>
              <w:pStyle w:val="Compact"/>
              <w:jc w:val="left"/>
            </w:pPr>
            <w:r>
              <w:t xml:space="preserve">Technical report preparation and peer-review coordination</w:t>
            </w:r>
          </w:p>
        </w:tc>
        <w:tc>
          <w:tcPr/>
          <w:p>
            <w:pPr>
              <w:pStyle w:val="Compact"/>
              <w:jc w:val="left"/>
            </w:pPr>
            <w:r>
              <w:t xml:space="preserve">4 reports / quarter</w:t>
            </w:r>
          </w:p>
        </w:tc>
        <w:tc>
          <w:tcPr/>
          <w:p>
            <w:pPr>
              <w:pStyle w:val="Compact"/>
              <w:jc w:val="left"/>
            </w:pPr>
            <w:r>
              <w:t xml:space="preserve">1,200.00 / report</w:t>
            </w:r>
          </w:p>
        </w:tc>
        <w:tc>
          <w:tcPr/>
          <w:p>
            <w:pPr>
              <w:pStyle w:val="Compact"/>
              <w:jc w:val="left"/>
            </w:pPr>
            <w:r>
              <w:t xml:space="preserve">19,200.00</w:t>
            </w:r>
          </w:p>
        </w:tc>
      </w:tr>
      <w:tr>
        <w:tc>
          <w:tcPr/>
          <w:p>
            <w:pPr>
              <w:pStyle w:val="Compact"/>
              <w:jc w:val="left"/>
            </w:pPr>
            <w:r>
              <w:t xml:space="preserve">04</w:t>
            </w:r>
          </w:p>
        </w:tc>
        <w:tc>
          <w:tcPr/>
          <w:p>
            <w:pPr>
              <w:pStyle w:val="Compact"/>
              <w:jc w:val="left"/>
            </w:pPr>
            <w:r>
              <w:t xml:space="preserve">Collaborative research project participation (ICFO, Barcelona)</w:t>
            </w:r>
          </w:p>
        </w:tc>
        <w:tc>
          <w:tcPr/>
          <w:p>
            <w:pPr>
              <w:pStyle w:val="Compact"/>
              <w:jc w:val="left"/>
            </w:pPr>
            <w:r>
              <w:t xml:space="preserve">2 projects</w:t>
            </w:r>
          </w:p>
        </w:tc>
        <w:tc>
          <w:tcPr/>
          <w:p>
            <w:pPr>
              <w:pStyle w:val="Compact"/>
              <w:jc w:val="left"/>
            </w:pPr>
            <w:r>
              <w:t xml:space="preserve">4,500.00 / project</w:t>
            </w:r>
          </w:p>
        </w:tc>
        <w:tc>
          <w:tcPr/>
          <w:p>
            <w:pPr>
              <w:pStyle w:val="Compact"/>
              <w:jc w:val="left"/>
            </w:pPr>
            <w:r>
              <w:t xml:space="preserve">9,000.00</w:t>
            </w:r>
          </w:p>
        </w:tc>
      </w:tr>
      <w:tr>
        <w:tc>
          <w:tcPr/>
          <w:p>
            <w:pPr>
              <w:pStyle w:val="Compact"/>
              <w:jc w:val="left"/>
            </w:pPr>
            <w:r>
              <w:t xml:space="preserve">05</w:t>
            </w:r>
          </w:p>
        </w:tc>
        <w:tc>
          <w:tcPr/>
          <w:p>
            <w:pPr>
              <w:pStyle w:val="Compact"/>
              <w:jc w:val="left"/>
            </w:pPr>
            <w:r>
              <w:t xml:space="preserve">Ad-hoc mathematical consultation (on-demand, max 10 hrs/month)</w:t>
            </w:r>
          </w:p>
        </w:tc>
        <w:tc>
          <w:tcPr/>
          <w:p>
            <w:pPr>
              <w:pStyle w:val="Compact"/>
              <w:jc w:val="left"/>
            </w:pPr>
            <w:r>
              <w:t xml:space="preserve">120 hours</w:t>
            </w:r>
          </w:p>
        </w:tc>
        <w:tc>
          <w:tcPr/>
          <w:p>
            <w:pPr>
              <w:pStyle w:val="Compact"/>
              <w:jc w:val="left"/>
            </w:pPr>
            <w:r>
              <w:t xml:space="preserve">95.00 / hour</w:t>
            </w:r>
          </w:p>
        </w:tc>
        <w:tc>
          <w:tcPr/>
          <w:p>
            <w:pPr>
              <w:pStyle w:val="Compact"/>
              <w:jc w:val="left"/>
            </w:pPr>
            <w:r>
              <w:t xml:space="preserve">11,400.00</w:t>
            </w:r>
          </w:p>
        </w:tc>
      </w:tr>
      <w:tr>
        <w:tc>
          <w:tcPr/>
          <w:p>
            <w:pPr>
              <w:pStyle w:val="Compact"/>
              <w:jc w:val="left"/>
            </w:pPr>
            <w:r>
              <w:t xml:space="preserve">06</w:t>
            </w:r>
          </w:p>
        </w:tc>
        <w:tc>
          <w:tcPr/>
          <w:p>
            <w:pPr>
              <w:pStyle w:val="Compact"/>
              <w:jc w:val="left"/>
            </w:pPr>
            <w:r>
              <w:t xml:space="preserve">Software licences and computational resources (MATLAB, Mathematica, R, HPC access)</w:t>
            </w:r>
          </w:p>
        </w:tc>
        <w:tc>
          <w:tcPr/>
          <w:p>
            <w:pPr>
              <w:pStyle w:val="Compact"/>
              <w:jc w:val="left"/>
            </w:pPr>
            <w:r>
              <w:t xml:space="preserve">12 months</w:t>
            </w:r>
          </w:p>
        </w:tc>
        <w:tc>
          <w:tcPr/>
          <w:p>
            <w:pPr>
              <w:pStyle w:val="Compact"/>
              <w:jc w:val="left"/>
            </w:pPr>
            <w:r>
              <w:t xml:space="preserve">1,150.00 / month</w:t>
            </w:r>
          </w:p>
        </w:tc>
        <w:tc>
          <w:tcPr/>
          <w:p>
            <w:pPr>
              <w:pStyle w:val="Compact"/>
              <w:jc w:val="left"/>
            </w:pPr>
            <w:r>
              <w:t xml:space="preserve">13,800.00</w:t>
            </w:r>
          </w:p>
        </w:tc>
      </w:tr>
      <w:tr>
        <w:tc>
          <w:tcPr/>
          <w:p>
            <w:pPr>
              <w:pStyle w:val="Compact"/>
              <w:jc w:val="left"/>
            </w:pPr>
            <w:r>
              <w:t xml:space="preserve">07</w:t>
            </w:r>
          </w:p>
        </w:tc>
        <w:tc>
          <w:tcPr/>
          <w:p>
            <w:pPr>
              <w:pStyle w:val="Compact"/>
              <w:jc w:val="left"/>
            </w:pPr>
            <w:r>
              <w:t xml:space="preserve">Travel and local transportation within Spain Barcelona metropolitan area</w:t>
            </w:r>
          </w:p>
        </w:tc>
        <w:tc>
          <w:tcPr/>
          <w:p>
            <w:pPr>
              <w:pStyle w:val="Compact"/>
              <w:jc w:val="left"/>
            </w:pPr>
            <w:r>
              <w:t xml:space="preserve">12 months</w:t>
            </w:r>
          </w:p>
        </w:tc>
        <w:tc>
          <w:tcPr/>
          <w:p>
            <w:pPr>
              <w:pStyle w:val="Compact"/>
              <w:jc w:val="left"/>
            </w:pPr>
            <w:r>
              <w:t xml:space="preserve">350.00 / month</w:t>
            </w:r>
          </w:p>
        </w:tc>
        <w:tc>
          <w:tcPr/>
          <w:p>
            <w:pPr>
              <w:pStyle w:val="Compact"/>
              <w:jc w:val="left"/>
            </w:pPr>
            <w:r>
              <w:t xml:space="preserve">4,200.00</w:t>
            </w:r>
          </w:p>
        </w:tc>
      </w:tr>
      <w:tr>
        <w:tc>
          <w:tcPr/>
          <w:p>
            <w:pPr>
              <w:pStyle w:val="Compact"/>
              <w:jc w:val="left"/>
            </w:pPr>
            <w:r>
              <w:t xml:space="preserve">08</w:t>
            </w:r>
          </w:p>
        </w:tc>
        <w:tc>
          <w:tcPr/>
          <w:p>
            <w:pPr>
              <w:pStyle w:val="Compact"/>
              <w:jc w:val="left"/>
            </w:pPr>
            <w:r>
              <w:t xml:space="preserve">Professional indemnity insurance and statutory social security contributions (Seguridad Social, Spain)</w:t>
            </w:r>
          </w:p>
        </w:tc>
        <w:tc>
          <w:tcPr/>
          <w:p>
            <w:pPr>
              <w:pStyle w:val="Compact"/>
              <w:jc w:val="left"/>
            </w:pPr>
            <w:r>
              <w:t xml:space="preserve">12 months</w:t>
            </w:r>
          </w:p>
        </w:tc>
        <w:tc>
          <w:tcPr/>
          <w:p>
            <w:pPr>
              <w:pStyle w:val="Compact"/>
              <w:jc w:val="left"/>
            </w:pPr>
            <w:r>
              <w:t xml:space="preserve">2,100.00 / month</w:t>
            </w:r>
          </w:p>
        </w:tc>
        <w:tc>
          <w:tcPr/>
          <w:p>
            <w:pPr>
              <w:pStyle w:val="Compact"/>
              <w:jc w:val="left"/>
            </w:pPr>
            <w:r>
              <w:t xml:space="preserve">25,200.00</w:t>
            </w:r>
          </w:p>
        </w:tc>
      </w:tr>
      <w:tr>
        <w:tc>
          <w:tcPr>
            <w:gridSpan w:val="4"/>
          </w:tcPr>
          <w:p>
            <w:pPr>
              <w:pStyle w:val="Compact"/>
              <w:jc w:val="left"/>
            </w:pPr>
            <w:r>
              <w:t xml:space="preserve">Subtotal (before VAT)</w:t>
            </w:r>
          </w:p>
        </w:tc>
        <w:tc>
          <w:tcPr/>
          <w:p>
            <w:pPr>
              <w:pStyle w:val="Compact"/>
              <w:jc w:val="left"/>
            </w:pPr>
            <w:r>
              <w:t xml:space="preserve">173,040.00</w:t>
            </w:r>
          </w:p>
        </w:tc>
      </w:tr>
      <w:tr>
        <w:tc>
          <w:tcPr>
            <w:gridSpan w:val="4"/>
          </w:tcPr>
          <w:p>
            <w:pPr>
              <w:pStyle w:val="Compact"/>
              <w:jc w:val="left"/>
            </w:pPr>
            <w:r>
              <w:t xml:space="preserve">VAT / IVA (21%)</w:t>
            </w:r>
          </w:p>
        </w:tc>
        <w:tc>
          <w:tcPr/>
          <w:p>
            <w:pPr>
              <w:pStyle w:val="Compact"/>
              <w:jc w:val="left"/>
            </w:pPr>
            <w:r>
              <w:t xml:space="preserve">36,338.40</w:t>
            </w:r>
          </w:p>
        </w:tc>
      </w:tr>
      <w:tr>
        <w:tc>
          <w:tcPr>
            <w:gridSpan w:val="4"/>
          </w:tcPr>
          <w:p>
            <w:pPr>
              <w:pStyle w:val="Compact"/>
              <w:jc w:val="left"/>
            </w:pPr>
            <w:r>
              <w:t xml:space="preserve">TOTAL AMOUNT DUE (EUR)</w:t>
            </w:r>
          </w:p>
        </w:tc>
        <w:tc>
          <w:tcPr/>
          <w:p>
            <w:pPr>
              <w:pStyle w:val="Compact"/>
              <w:jc w:val="left"/>
            </w:pPr>
            <w:r>
              <w:t xml:space="preserve">209,378.40</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via direct bank transfer (SEPA) to the account designated by the service provider. The total contract value shall be invoiced on a quarterly basis, with each invoice due within thirty (30) calendar days of the invoice date. A late-payment penalty of 1.5% per month, in accordance with Article 20 of the Spanish Law 3/2004 on the Fight Against Late Payment in Commercial Transactions, shall apply to any overdue balance. The client acknowledges that this</w:t>
      </w:r>
      <w:r>
        <w:t xml:space="preserve"> </w:t>
      </w:r>
      <w:r>
        <w:t xml:space="preserve">Quotation Estimate</w:t>
      </w:r>
      <w:r>
        <w:t xml:space="preserve"> </w:t>
      </w:r>
      <w:r>
        <w:t xml:space="preserve">does not constitute a binding contract until both parties have executed the formal service agreement in writing.</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days from the date of issue. Beyond this period, all rates and availability of the</w:t>
      </w:r>
      <w:r>
        <w:t xml:space="preserve"> </w:t>
      </w:r>
      <w:r>
        <w:t xml:space="preserve">Mathematician</w:t>
      </w:r>
      <w:r>
        <w:t xml:space="preserve"> </w:t>
      </w:r>
      <w:r>
        <w:t xml:space="preserve">are subject to re-evaluation and may be adjusted to reflect current market conditions in</w:t>
      </w:r>
      <w:r>
        <w:t xml:space="preserve"> </w:t>
      </w:r>
      <w:r>
        <w:t xml:space="preserve">Spain Barcelona</w:t>
      </w:r>
      <w:r>
        <w:t xml:space="preserve">.</w:t>
      </w:r>
    </w:p>
    <w:p>
      <w:pPr>
        <w:numPr>
          <w:ilvl w:val="0"/>
          <w:numId w:val="1002"/>
        </w:numPr>
        <w:pStyle w:val="Compact"/>
      </w:pPr>
      <w:r>
        <w:t xml:space="preserve">The</w:t>
      </w:r>
      <w:r>
        <w:t xml:space="preserve"> </w:t>
      </w:r>
      <w:r>
        <w:t xml:space="preserve">Mathematician</w:t>
      </w:r>
      <w:r>
        <w:t xml:space="preserve"> </w:t>
      </w:r>
      <w:r>
        <w:t xml:space="preserve">shall comply with all data-protection obligations under the General Data Protection Regulation (GDPR) and the Spanish Organic Law 3/2018 (LOPDGDD) when handling any client data or research materials.</w:t>
      </w:r>
    </w:p>
    <w:p>
      <w:pPr>
        <w:numPr>
          <w:ilvl w:val="0"/>
          <w:numId w:val="1002"/>
        </w:numPr>
        <w:pStyle w:val="Compact"/>
      </w:pPr>
      <w:r>
        <w:t xml:space="preserve">All intellectual property generated specifically for the client under this engagement shall be the sole property of the client, unless otherwise agreed in a separate written addendum. Pre-existing intellectual property of the</w:t>
      </w:r>
      <w:r>
        <w:t xml:space="preserve"> </w:t>
      </w:r>
      <w:r>
        <w:t xml:space="preserve">Mathematician</w:t>
      </w:r>
      <w:r>
        <w:t xml:space="preserve"> </w:t>
      </w:r>
      <w:r>
        <w:t xml:space="preserve">shall remain the property of the provider.</w:t>
      </w:r>
    </w:p>
    <w:p>
      <w:pPr>
        <w:numPr>
          <w:ilvl w:val="0"/>
          <w:numId w:val="1002"/>
        </w:numPr>
        <w:pStyle w:val="Compact"/>
      </w:pPr>
      <w:r>
        <w:t xml:space="preserve">Either party may terminate the engagement with a written notice of sixty (60) days. In the event of early termination, the client shall be liable for all services rendered up to the effective date of termination, as itemised in this</w:t>
      </w:r>
      <w:r>
        <w:t xml:space="preserve"> </w:t>
      </w:r>
      <w:r>
        <w:t xml:space="preserve">Quotation Estimate</w:t>
      </w:r>
      <w:r>
        <w:t xml:space="preserve">.</w:t>
      </w:r>
    </w:p>
    <w:p>
      <w:pPr>
        <w:numPr>
          <w:ilvl w:val="0"/>
          <w:numId w:val="1002"/>
        </w:numPr>
        <w:pStyle w:val="Compact"/>
      </w:pPr>
      <w:r>
        <w:t xml:space="preserve">Any disputes arising from this</w:t>
      </w:r>
      <w:r>
        <w:t xml:space="preserve"> </w:t>
      </w:r>
      <w:r>
        <w:t xml:space="preserve">Quotation Estimate</w:t>
      </w:r>
      <w:r>
        <w:t xml:space="preserve"> </w:t>
      </w:r>
      <w:r>
        <w:t xml:space="preserve">or the subsequent service agreement shall be resolved through the competent courts of Barcelona, Spain, in accordance with Spanish civil and commercial law.</w:t>
      </w:r>
    </w:p>
    <w:p>
      <w:pPr>
        <w:numPr>
          <w:ilvl w:val="0"/>
          <w:numId w:val="1002"/>
        </w:numPr>
        <w:pStyle w:val="Compact"/>
      </w:pPr>
      <w:r>
        <w:t xml:space="preserve">The service provider reserves the right to substitute the named</w:t>
      </w:r>
      <w:r>
        <w:t xml:space="preserve"> </w:t>
      </w:r>
      <w:r>
        <w:t xml:space="preserve">Mathematician</w:t>
      </w:r>
      <w:r>
        <w:t xml:space="preserve"> </w:t>
      </w:r>
      <w:r>
        <w:t xml:space="preserve">with a qualified equivalent of comparable seniority, subject to the client's prior written approval, in the event of prolonged unavailability due to illness or force majeure.</w:t>
      </w:r>
    </w:p>
    <w:bookmarkEnd w:id="25"/>
    <w:bookmarkStart w:id="26" w:name="acceptance-and-authorisation"/>
    <w:p>
      <w:pPr>
        <w:pStyle w:val="Heading2"/>
      </w:pPr>
      <w:r>
        <w:t xml:space="preserve">6. Acceptance and Authorisation</w:t>
      </w:r>
    </w:p>
    <w:p>
      <w:pPr>
        <w:pStyle w:val="FirstParagraph"/>
      </w:pPr>
      <w:r>
        <w:t xml:space="preserve">By signing below, the client confirms that this</w:t>
      </w:r>
      <w:r>
        <w:t xml:space="preserve"> </w:t>
      </w:r>
      <w:r>
        <w:t xml:space="preserve">Quotation Estimate</w:t>
      </w:r>
      <w:r>
        <w:t xml:space="preserve"> </w:t>
      </w:r>
      <w:r>
        <w:t xml:space="preserve">has been reviewed in its entirety and that the terms, conditions, and cost projections for the</w:t>
      </w:r>
      <w:r>
        <w:t xml:space="preserve"> </w:t>
      </w:r>
      <w:r>
        <w:t xml:space="preserve">Mathematician</w:t>
      </w:r>
      <w:r>
        <w:t xml:space="preserve"> </w:t>
      </w:r>
      <w:r>
        <w:t xml:space="preserve">services in</w:t>
      </w:r>
      <w:r>
        <w:t xml:space="preserve"> </w:t>
      </w:r>
      <w:r>
        <w:t xml:space="preserve">Spain Barcelona</w:t>
      </w:r>
      <w:r>
        <w:t xml:space="preserve"> </w:t>
      </w:r>
      <w:r>
        <w:t xml:space="preserve">are accepted. This signature authorises the service provider to proceed with the engagement as described herein.</w:t>
      </w:r>
    </w:p>
    <w:p>
      <w:pPr>
        <w:pStyle w:val="BodyText"/>
      </w:pPr>
      <w:r>
        <w:rPr>
          <w:bCs/>
          <w:b/>
        </w:rPr>
        <w:t xml:space="preserve">For the Service Provider</w:t>
      </w:r>
    </w:p>
    <w:p>
      <w:pPr>
        <w:pStyle w:val="BodyText"/>
      </w:pPr>
      <w:r>
        <w:t xml:space="preserve">Dr. Elena Marchñon</w:t>
      </w:r>
    </w:p>
    <w:p>
      <w:pPr>
        <w:pStyle w:val="BodyText"/>
      </w:pPr>
      <w:r>
        <w:t xml:space="preserve">Lead Mathematician &amp; Principal Consultant</w:t>
      </w:r>
    </w:p>
    <w:p>
      <w:pPr>
        <w:pStyle w:val="BodyText"/>
      </w:pPr>
      <w:r>
        <w:t xml:space="preserve">Signature &amp; Date</w:t>
      </w:r>
    </w:p>
    <w:p>
      <w:pPr>
        <w:pStyle w:val="BodyText"/>
      </w:pPr>
      <w:r>
        <w:rPr>
          <w:bCs/>
          <w:b/>
        </w:rPr>
        <w:t xml:space="preserve">For the Client</w:t>
      </w:r>
    </w:p>
    <w:p>
      <w:pPr>
        <w:pStyle w:val="BodyText"/>
      </w:pPr>
      <w:r>
        <w:t xml:space="preserve">M. Serrat</w:t>
      </w:r>
    </w:p>
    <w:p>
      <w:pPr>
        <w:pStyle w:val="BodyText"/>
      </w:pPr>
      <w:r>
        <w:t xml:space="preserve">Procurement Director, Barcelona Applied Sciences Consortium, S.L.</w:t>
      </w:r>
    </w:p>
    <w:p>
      <w:pPr>
        <w:pStyle w:val="BodyText"/>
      </w:pPr>
      <w:r>
        <w:t xml:space="preserve">Signature &amp; Date</w:t>
      </w:r>
    </w:p>
    <w:p>
      <w:pPr>
        <w:pStyle w:val="BodyText"/>
      </w:pPr>
      <w:r>
        <w:t xml:space="preserve">This Quotation Estimate (Ref: QTE-BCN-2025-0472) was prepared for the exclusive use of the Barcelona Applied Sciences Consortium, S.L. in Spain Barcelona. Unauthorised reproduction or distribution of this document is prohibited. © 2025 Marchñon Mathematical Consulting, S.L. — Barcelona, Spain. NIF: B-65432109.</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Spain Barcelona</dc:title>
  <dc:creator/>
  <dc:language>en</dc:language>
  <cp:keywords/>
  <dcterms:created xsi:type="dcterms:W3CDTF">2026-10-10T04:02:59Z</dcterms:created>
  <dcterms:modified xsi:type="dcterms:W3CDTF">2026-10-10T04:02:59Z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