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pex-mathematical-consulting-llc"/>
    <w:p>
      <w:pPr>
        <w:pStyle w:val="Heading1"/>
      </w:pPr>
      <w:r>
        <w:t xml:space="preserve">Apex Mathematical Consulting LLC</w:t>
      </w:r>
    </w:p>
    <w:p>
      <w:pPr>
        <w:pStyle w:val="FirstParagraph"/>
      </w:pPr>
      <w:r>
        <w:t xml:space="preserve">Office 1204, Level 12, Al Reem Island Tower</w:t>
      </w:r>
    </w:p>
    <w:p>
      <w:pPr>
        <w:pStyle w:val="BodyText"/>
      </w:pPr>
      <w:r>
        <w:t xml:space="preserve">Abu Dhabi, United Arab Emirates</w:t>
      </w:r>
    </w:p>
    <w:p>
      <w:pPr>
        <w:pStyle w:val="BodyText"/>
      </w:pPr>
      <w:r>
        <w:t xml:space="preserve">Tel: +971 2 445 6789 | Email: quotes@apexmath.ae</w:t>
      </w:r>
    </w:p>
    <w:p>
      <w:pPr>
        <w:pStyle w:val="BodyText"/>
      </w:pPr>
      <w:r>
        <w:t xml:space="preserve">Trade License No: AD-2024-088341</w:t>
      </w:r>
    </w:p>
    <w:bookmarkEnd w:id="20"/>
    <w:bookmarkStart w:id="21" w:name="quotation-estimate"/>
    <w:p>
      <w:pPr>
        <w:pStyle w:val="Heading2"/>
      </w:pPr>
      <w:r>
        <w:t xml:space="preserve">QUOTATION ESTIMATE</w:t>
      </w:r>
    </w:p>
    <w:p>
      <w:pPr>
        <w:pStyle w:val="FirstParagraph"/>
      </w:pPr>
      <w:r>
        <w:t xml:space="preserve">Reference No: QE-2025-0472</w:t>
      </w:r>
    </w:p>
    <w:p>
      <w:pPr>
        <w:pStyle w:val="BodyText"/>
      </w:pPr>
      <w:r>
        <w:t xml:space="preserve">Date: 15 June 2025</w:t>
      </w:r>
    </w:p>
    <w:p>
      <w:pPr>
        <w:pStyle w:val="BodyText"/>
      </w:pPr>
      <w:r>
        <w:t xml:space="preserve">Valid Until: 15 July 2025</w:t>
      </w:r>
    </w:p>
    <w:p>
      <w:pPr>
        <w:pStyle w:val="BodyText"/>
      </w:pPr>
      <w:r>
        <w:t xml:space="preserve">Currency: AED (UAE Dirham)</w:t>
      </w:r>
    </w:p>
    <w:bookmarkEnd w:id="21"/>
    <w:p>
      <w:pPr>
        <w:pStyle w:val="BodyText"/>
      </w:pPr>
      <w:r>
        <w:t xml:space="preserve">1. PARTIES INVOLVED</w:t>
      </w:r>
    </w:p>
    <w:bookmarkStart w:id="22" w:name="prepared-by-service-provider"/>
    <w:p>
      <w:pPr>
        <w:pStyle w:val="Heading3"/>
      </w:pPr>
      <w:r>
        <w:t xml:space="preserve">Prepared By (Service Provider)</w:t>
      </w:r>
    </w:p>
    <w:p>
      <w:pPr>
        <w:pStyle w:val="FirstParagraph"/>
      </w:pPr>
      <w:r>
        <w:rPr>
          <w:bCs/>
          <w:b/>
        </w:rPr>
        <w:t xml:space="preserve">Apex Mathematical Consulting LLC</w:t>
      </w:r>
    </w:p>
    <w:p>
      <w:pPr>
        <w:pStyle w:val="BodyText"/>
      </w:pPr>
      <w:r>
        <w:t xml:space="preserve">Al Reem Island, Abu Dhabi</w:t>
      </w:r>
    </w:p>
    <w:p>
      <w:pPr>
        <w:pStyle w:val="BodyText"/>
      </w:pPr>
      <w:r>
        <w:t xml:space="preserve">United Arab Emirates</w:t>
      </w:r>
    </w:p>
    <w:p>
      <w:pPr>
        <w:pStyle w:val="BodyText"/>
      </w:pPr>
      <w:r>
        <w:t xml:space="preserve">Contact: Dr. Khalid Al Mansoori</w:t>
      </w:r>
    </w:p>
    <w:p>
      <w:pPr>
        <w:pStyle w:val="BodyText"/>
      </w:pPr>
      <w:r>
        <w:t xml:space="preserve">Role: Lead Mathematician &amp; Principal Consultant</w:t>
      </w:r>
    </w:p>
    <w:bookmarkEnd w:id="22"/>
    <w:bookmarkStart w:id="23" w:name="prepared-for-client"/>
    <w:p>
      <w:pPr>
        <w:pStyle w:val="Heading3"/>
      </w:pPr>
      <w:r>
        <w:t xml:space="preserve">Prepared For (Client)</w:t>
      </w:r>
    </w:p>
    <w:p>
      <w:pPr>
        <w:pStyle w:val="FirstParagraph"/>
      </w:pPr>
      <w:r>
        <w:rPr>
          <w:bCs/>
          <w:b/>
        </w:rPr>
        <w:t xml:space="preserve">Emirates Advanced Research Institute</w:t>
      </w:r>
    </w:p>
    <w:p>
      <w:pPr>
        <w:pStyle w:val="BodyText"/>
      </w:pPr>
      <w:r>
        <w:t xml:space="preserve">Yas Island, Abu Dhabi</w:t>
      </w:r>
    </w:p>
    <w:p>
      <w:pPr>
        <w:pStyle w:val="BodyText"/>
      </w:pPr>
      <w:r>
        <w:t xml:space="preserve">United Arab Emirates</w:t>
      </w:r>
    </w:p>
    <w:p>
      <w:pPr>
        <w:pStyle w:val="BodyText"/>
      </w:pPr>
      <w:r>
        <w:t xml:space="preserve">Contact: Dr. Fatima Al Suwaidi</w:t>
      </w:r>
    </w:p>
    <w:p>
      <w:pPr>
        <w:pStyle w:val="BodyText"/>
      </w:pPr>
      <w:r>
        <w:t xml:space="preserve">Role: Director of Applied Sciences</w:t>
      </w:r>
    </w:p>
    <w:bookmarkEnd w:id="23"/>
    <w:p>
      <w:pPr>
        <w:pStyle w:val="BodyText"/>
      </w:pPr>
      <w:r>
        <w:t xml:space="preserve">2. SCOPE OF SERVICES – MATHEMATICIAN CONSULTANCY</w:t>
      </w:r>
    </w:p>
    <w:p>
      <w:pPr>
        <w:pStyle w:val="BodyText"/>
      </w:pPr>
      <w:r>
        <w:t xml:space="preserve">This</w:t>
      </w:r>
      <w:r>
        <w:t xml:space="preserve"> </w:t>
      </w:r>
      <w:r>
        <w:t xml:space="preserve">Quotation Estimate</w:t>
      </w:r>
      <w:r>
        <w:t xml:space="preserve"> </w:t>
      </w:r>
      <w:r>
        <w:t xml:space="preserve">is issued by Apex Mathematical Consulting LLC for the provision of specialized</w:t>
      </w:r>
      <w:r>
        <w:t xml:space="preserve"> </w:t>
      </w:r>
      <w:r>
        <w:t xml:space="preserve">Mathematician</w:t>
      </w:r>
      <w:r>
        <w:t xml:space="preserve"> </w:t>
      </w:r>
      <w:r>
        <w:t xml:space="preserve">services to be delivered within the jurisdiction of</w:t>
      </w:r>
      <w:r>
        <w:t xml:space="preserve"> </w:t>
      </w:r>
      <w:r>
        <w:t xml:space="preserve">United Arab Emirates Abu Dhabi</w:t>
      </w:r>
      <w:r>
        <w:t xml:space="preserve">. The Mathematician engaged under this estimate shall provide expert-level mathematical analysis, modelling, and problem-solving support tailored to the client's research and operational requirements. All services shall be performed in compliance with the regulatory framework of the United Arab Emirates and shall be conducted primarily at the client's premises located in Abu Dhabi, with occasional on-site visits to the provider's office on Al Reem Island.</w:t>
      </w:r>
    </w:p>
    <w:p>
      <w:pPr>
        <w:pStyle w:val="BodyText"/>
      </w:pPr>
      <w:r>
        <w:t xml:space="preserve">The Mathematician's engagement encompasses the following core deliverables: development of stochastic differential equation models for financial risk assessment; formulation of optimization algorithms for logistics network design; peer review of mathematical proofs submitted by the client's internal research team; and delivery of two (2) comprehensive technical reports per quarter summarizing findings and recommendations. The Mathematician shall also be available for a minimum of twelve (12) hours per week for direct consultation, workshops, and collaborative problem-solving sessions held in Abu Dhabi.</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Quantity</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Senior Mathematician – Stochastic Modelling &amp; Risk Analysis (on-site in Abu Dhabi)</w:t>
            </w:r>
          </w:p>
        </w:tc>
        <w:tc>
          <w:tcPr/>
          <w:p>
            <w:pPr>
              <w:pStyle w:val="Compact"/>
              <w:jc w:val="left"/>
            </w:pPr>
            <w:r>
              <w:t xml:space="preserve">3 months</w:t>
            </w:r>
          </w:p>
        </w:tc>
        <w:tc>
          <w:tcPr/>
          <w:p>
            <w:pPr>
              <w:pStyle w:val="Compact"/>
              <w:jc w:val="left"/>
            </w:pPr>
            <w:r>
              <w:t xml:space="preserve">4,500 / hr</w:t>
            </w:r>
          </w:p>
        </w:tc>
        <w:tc>
          <w:tcPr/>
          <w:p>
            <w:pPr>
              <w:pStyle w:val="Compact"/>
              <w:jc w:val="left"/>
            </w:pPr>
            <w:r>
              <w:t xml:space="preserve">120 hrs</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Mathematician – Optimization Algorithm Development &amp; Implementation</w:t>
            </w:r>
          </w:p>
        </w:tc>
        <w:tc>
          <w:tcPr/>
          <w:p>
            <w:pPr>
              <w:pStyle w:val="Compact"/>
              <w:jc w:val="left"/>
            </w:pPr>
            <w:r>
              <w:t xml:space="preserve">2 months</w:t>
            </w:r>
          </w:p>
        </w:tc>
        <w:tc>
          <w:tcPr/>
          <w:p>
            <w:pPr>
              <w:pStyle w:val="Compact"/>
              <w:jc w:val="left"/>
            </w:pPr>
            <w:r>
              <w:t xml:space="preserve">4,200 / hr</w:t>
            </w:r>
          </w:p>
        </w:tc>
        <w:tc>
          <w:tcPr/>
          <w:p>
            <w:pPr>
              <w:pStyle w:val="Compact"/>
              <w:jc w:val="left"/>
            </w:pPr>
            <w:r>
              <w:t xml:space="preserve">80 hrs</w:t>
            </w:r>
          </w:p>
        </w:tc>
        <w:tc>
          <w:tcPr/>
          <w:p>
            <w:pPr>
              <w:pStyle w:val="Compact"/>
              <w:jc w:val="left"/>
            </w:pPr>
            <w:r>
              <w:t xml:space="preserve">336,000</w:t>
            </w:r>
          </w:p>
        </w:tc>
      </w:tr>
      <w:tr>
        <w:tc>
          <w:tcPr/>
          <w:p>
            <w:pPr>
              <w:pStyle w:val="Compact"/>
              <w:jc w:val="left"/>
            </w:pPr>
            <w:r>
              <w:t xml:space="preserve">3</w:t>
            </w:r>
          </w:p>
        </w:tc>
        <w:tc>
          <w:tcPr/>
          <w:p>
            <w:pPr>
              <w:pStyle w:val="Compact"/>
              <w:jc w:val="left"/>
            </w:pPr>
            <w:r>
              <w:t xml:space="preserve">Mathematician – Peer Review of Mathematical Proofs &amp; Technical Documentation</w:t>
            </w:r>
          </w:p>
        </w:tc>
        <w:tc>
          <w:tcPr/>
          <w:p>
            <w:pPr>
              <w:pStyle w:val="Compact"/>
              <w:jc w:val="left"/>
            </w:pPr>
            <w:r>
              <w:t xml:space="preserve">Ongoing</w:t>
            </w:r>
          </w:p>
        </w:tc>
        <w:tc>
          <w:tcPr/>
          <w:p>
            <w:pPr>
              <w:pStyle w:val="Compact"/>
              <w:jc w:val="left"/>
            </w:pPr>
            <w:r>
              <w:t xml:space="preserve">3,800 / hr</w:t>
            </w:r>
          </w:p>
        </w:tc>
        <w:tc>
          <w:tcPr/>
          <w:p>
            <w:pPr>
              <w:pStyle w:val="Compact"/>
              <w:jc w:val="left"/>
            </w:pPr>
            <w:r>
              <w:t xml:space="preserve">40 hrs</w:t>
            </w:r>
          </w:p>
        </w:tc>
        <w:tc>
          <w:tcPr/>
          <w:p>
            <w:pPr>
              <w:pStyle w:val="Compact"/>
              <w:jc w:val="left"/>
            </w:pPr>
            <w:r>
              <w:t xml:space="preserve">152,000</w:t>
            </w:r>
          </w:p>
        </w:tc>
      </w:tr>
      <w:tr>
        <w:tc>
          <w:tcPr/>
          <w:p>
            <w:pPr>
              <w:pStyle w:val="Compact"/>
              <w:jc w:val="left"/>
            </w:pPr>
            <w:r>
              <w:t xml:space="preserve">4</w:t>
            </w:r>
          </w:p>
        </w:tc>
        <w:tc>
          <w:tcPr/>
          <w:p>
            <w:pPr>
              <w:pStyle w:val="Compact"/>
              <w:jc w:val="left"/>
            </w:pPr>
            <w:r>
              <w:t xml:space="preserve">Quarterly Technical Reports (2 per quarter, 4 quarters)</w:t>
            </w:r>
          </w:p>
        </w:tc>
        <w:tc>
          <w:tcPr/>
          <w:p>
            <w:pPr>
              <w:pStyle w:val="Compact"/>
              <w:jc w:val="left"/>
            </w:pPr>
            <w:r>
              <w:t xml:space="preserve">12 months</w:t>
            </w:r>
          </w:p>
        </w:tc>
        <w:tc>
          <w:tcPr/>
          <w:p>
            <w:pPr>
              <w:pStyle w:val="Compact"/>
              <w:jc w:val="left"/>
            </w:pPr>
            <w:r>
              <w:t xml:space="preserve">25,000 / report</w:t>
            </w:r>
          </w:p>
        </w:tc>
        <w:tc>
          <w:tcPr/>
          <w:p>
            <w:pPr>
              <w:pStyle w:val="Compact"/>
              <w:jc w:val="left"/>
            </w:pPr>
            <w:r>
              <w:t xml:space="preserve">8 reports</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Workshop Facilitation – Advanced Mathematics for Research Teams (Abu Dhabi venue)</w:t>
            </w:r>
          </w:p>
        </w:tc>
        <w:tc>
          <w:tcPr/>
          <w:p>
            <w:pPr>
              <w:pStyle w:val="Compact"/>
              <w:jc w:val="left"/>
            </w:pPr>
            <w:r>
              <w:t xml:space="preserve">1 day each</w:t>
            </w:r>
          </w:p>
        </w:tc>
        <w:tc>
          <w:tcPr/>
          <w:p>
            <w:pPr>
              <w:pStyle w:val="Compact"/>
              <w:jc w:val="left"/>
            </w:pPr>
            <w:r>
              <w:t xml:space="preserve">18,000 / day</w:t>
            </w:r>
          </w:p>
        </w:tc>
        <w:tc>
          <w:tcPr/>
          <w:p>
            <w:pPr>
              <w:pStyle w:val="Compact"/>
              <w:jc w:val="left"/>
            </w:pPr>
            <w:r>
              <w:t xml:space="preserve">4 days</w:t>
            </w:r>
          </w:p>
        </w:tc>
        <w:tc>
          <w:tcPr/>
          <w:p>
            <w:pPr>
              <w:pStyle w:val="Compact"/>
              <w:jc w:val="left"/>
            </w:pPr>
            <w:r>
              <w:t xml:space="preserve">72,000</w:t>
            </w:r>
          </w:p>
        </w:tc>
      </w:tr>
      <w:tr>
        <w:tc>
          <w:tcPr/>
          <w:p>
            <w:pPr>
              <w:pStyle w:val="Compact"/>
              <w:jc w:val="left"/>
            </w:pPr>
            <w:r>
              <w:t xml:space="preserve">6</w:t>
            </w:r>
          </w:p>
        </w:tc>
        <w:tc>
          <w:tcPr/>
          <w:p>
            <w:pPr>
              <w:pStyle w:val="Compact"/>
              <w:jc w:val="left"/>
            </w:pPr>
            <w:r>
              <w:t xml:space="preserve">Travel &amp; Local Transportation within Abu Dhabi (Mathematician on-site visits)</w:t>
            </w:r>
          </w:p>
        </w:tc>
        <w:tc>
          <w:tcPr/>
          <w:p>
            <w:pPr>
              <w:pStyle w:val="Compact"/>
              <w:jc w:val="left"/>
            </w:pPr>
            <w:r>
              <w:t xml:space="preserve">12 months</w:t>
            </w:r>
          </w:p>
        </w:tc>
        <w:tc>
          <w:tcPr/>
          <w:p>
            <w:pPr>
              <w:pStyle w:val="Compact"/>
              <w:jc w:val="left"/>
            </w:pPr>
            <w:r>
              <w:t xml:space="preserve">Flat</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Software Licenses &amp; Computational Resources (MATLAB, Mathematica, Python HPC)</w:t>
            </w:r>
          </w:p>
        </w:tc>
        <w:tc>
          <w:tcPr/>
          <w:p>
            <w:pPr>
              <w:pStyle w:val="Compact"/>
              <w:jc w:val="left"/>
            </w:pPr>
            <w:r>
              <w:t xml:space="preserve">12 months</w:t>
            </w:r>
          </w:p>
        </w:tc>
        <w:tc>
          <w:tcPr/>
          <w:p>
            <w:pPr>
              <w:pStyle w:val="Compact"/>
              <w:jc w:val="left"/>
            </w:pPr>
            <w:r>
              <w:t xml:space="preserve">Flat</w:t>
            </w:r>
          </w:p>
        </w:tc>
        <w:tc>
          <w:tcPr/>
          <w:p>
            <w:pPr>
              <w:pStyle w:val="Compact"/>
              <w:jc w:val="left"/>
            </w:pPr>
            <w:r>
              <w:t xml:space="preserve">1</w:t>
            </w:r>
          </w:p>
        </w:tc>
        <w:tc>
          <w:tcPr/>
          <w:p>
            <w:pPr>
              <w:pStyle w:val="Compact"/>
              <w:jc w:val="left"/>
            </w:pPr>
            <w:r>
              <w:t xml:space="preserve">45,000</w:t>
            </w:r>
          </w:p>
        </w:tc>
      </w:tr>
      <w:tr>
        <w:tc>
          <w:tcPr>
            <w:gridSpan w:val="5"/>
          </w:tcPr>
          <w:p>
            <w:pPr>
              <w:pStyle w:val="Compact"/>
              <w:jc w:val="left"/>
            </w:pPr>
            <w:r>
              <w:t xml:space="preserve">Subtotal</w:t>
            </w:r>
          </w:p>
        </w:tc>
        <w:tc>
          <w:tcPr/>
          <w:p>
            <w:pPr>
              <w:pStyle w:val="Compact"/>
              <w:jc w:val="left"/>
            </w:pPr>
            <w:r>
              <w:t xml:space="preserve">1,360,000</w:t>
            </w:r>
          </w:p>
        </w:tc>
      </w:tr>
      <w:tr>
        <w:tc>
          <w:tcPr>
            <w:gridSpan w:val="5"/>
          </w:tcPr>
          <w:p>
            <w:pPr>
              <w:pStyle w:val="Compact"/>
              <w:jc w:val="left"/>
            </w:pPr>
            <w:r>
              <w:t xml:space="preserve">VAT (5% – United Arab Emirates)</w:t>
            </w:r>
          </w:p>
        </w:tc>
        <w:tc>
          <w:tcPr/>
          <w:p>
            <w:pPr>
              <w:pStyle w:val="Compact"/>
              <w:jc w:val="left"/>
            </w:pPr>
            <w:r>
              <w:t xml:space="preserve">68,000</w:t>
            </w:r>
          </w:p>
        </w:tc>
      </w:tr>
      <w:tr>
        <w:tc>
          <w:tcPr>
            <w:gridSpan w:val="5"/>
          </w:tcPr>
          <w:p>
            <w:pPr>
              <w:pStyle w:val="Compact"/>
              <w:jc w:val="left"/>
            </w:pPr>
            <w:r>
              <w:rPr>
                <w:bCs/>
                <w:b/>
              </w:rPr>
              <w:t xml:space="preserve">TOTAL ESTIMATED COST (AED)</w:t>
            </w:r>
          </w:p>
        </w:tc>
        <w:tc>
          <w:tcPr/>
          <w:p>
            <w:pPr>
              <w:pStyle w:val="Compact"/>
              <w:jc w:val="left"/>
            </w:pPr>
            <w:r>
              <w:rPr>
                <w:bCs/>
                <w:b/>
              </w:rPr>
              <w:t xml:space="preserve">1,428,000</w:t>
            </w:r>
          </w:p>
        </w:tc>
      </w:tr>
    </w:tbl>
    <w:p>
      <w:pPr>
        <w:pStyle w:val="BodyText"/>
      </w:pPr>
      <w:r>
        <w:rPr>
          <w:bCs/>
          <w:b/>
        </w:rPr>
        <w:t xml:space="preserve">Note:</w:t>
      </w:r>
      <w:r>
        <w:t xml:space="preserve"> </w:t>
      </w:r>
      <w:r>
        <w:t xml:space="preserve">This Quotation Estimate is valid for thirty (30) days from the date of issue. All rates are quoted in United Arab Emirates Dirhams (AED) and are inclusive of the Mathematician's professional expertise, travel within Abu Dhabi, and standard working hours (Sunday to Thursday, 08:00–17:00 GST). Overtime or weekend work shall be billed at 1.5x the stated hourly rate.</w:t>
      </w:r>
    </w:p>
    <w:p>
      <w:pPr>
        <w:pStyle w:val="BodyText"/>
      </w:pPr>
      <w:r>
        <w:t xml:space="preserve">4. TERMS AND CONDITIONS</w:t>
      </w:r>
    </w:p>
    <w:p>
      <w:pPr>
        <w:pStyle w:val="BodyText"/>
      </w:pPr>
      <w:r>
        <w:rPr>
          <w:bCs/>
          <w:b/>
        </w:rPr>
        <w:t xml:space="preserve">4.1</w:t>
      </w:r>
      <w:r>
        <w:t xml:space="preserve"> </w:t>
      </w:r>
      <w:r>
        <w:t xml:space="preserve">This Quotation Estimate constitutes a non-binding proposal and does not constitute a contractual obligation until a formal service agreement is executed by both parties in Abu Dhabi, United Arab Emirates.</w:t>
      </w:r>
    </w:p>
    <w:p>
      <w:pPr>
        <w:pStyle w:val="BodyText"/>
      </w:pPr>
      <w:r>
        <w:rPr>
          <w:bCs/>
          <w:b/>
        </w:rPr>
        <w:t xml:space="preserve">4.2</w:t>
      </w:r>
      <w:r>
        <w:t xml:space="preserve"> </w:t>
      </w:r>
      <w:r>
        <w:t xml:space="preserve">Payment terms: 30% advance upon acceptance of this Quotation Estimate; 40% upon completion of the first six (6) months of Mathematician engagement; 30% upon final delivery of all deliverables and acceptance by the client.</w:t>
      </w:r>
    </w:p>
    <w:p>
      <w:pPr>
        <w:pStyle w:val="BodyText"/>
      </w:pPr>
      <w:r>
        <w:rPr>
          <w:bCs/>
          <w:b/>
        </w:rPr>
        <w:t xml:space="preserve">4.3</w:t>
      </w:r>
      <w:r>
        <w:t xml:space="preserve"> </w:t>
      </w:r>
      <w:r>
        <w:t xml:space="preserve">The Mathematician shall maintain strict confidentiality regarding all proprietary data, research findings, and intellectual property of the client, in accordance with the UAE Federal Decree-Law No. 45 of 2021 on the Protection of Personal Data and the relevant commercial secrecy provisions.</w:t>
      </w:r>
    </w:p>
    <w:p>
      <w:pPr>
        <w:pStyle w:val="BodyText"/>
      </w:pPr>
      <w:r>
        <w:rPr>
          <w:bCs/>
          <w:b/>
        </w:rPr>
        <w:t xml:space="preserve">4.4</w:t>
      </w:r>
      <w:r>
        <w:t xml:space="preserve"> </w:t>
      </w:r>
      <w:r>
        <w:t xml:space="preserve">Any scope changes, additional Mathematician hours, or extended engagement beyond the period stated in this Quotation Estimate shall require a written amendment signed by both parties.</w:t>
      </w:r>
    </w:p>
    <w:p>
      <w:pPr>
        <w:pStyle w:val="BodyText"/>
      </w:pPr>
      <w:r>
        <w:rPr>
          <w:bCs/>
          <w:b/>
        </w:rPr>
        <w:t xml:space="preserve">4.5</w:t>
      </w:r>
      <w:r>
        <w:t xml:space="preserve"> </w:t>
      </w:r>
      <w:r>
        <w:t xml:space="preserve">This Quotation Estimate is governed by the laws of the United Arab Emirates, and any disputes shall be resolved through the Abu Dhabi Courts of Justice or, at the client's election, through arbitration under the rules of the Abu Dhabi Global Market (ADGM) Arbitration Centre.</w:t>
      </w:r>
    </w:p>
    <w:p>
      <w:pPr>
        <w:pStyle w:val="BodyText"/>
      </w:pPr>
      <w:r>
        <w:rPr>
          <w:bCs/>
          <w:b/>
        </w:rPr>
        <w:t xml:space="preserve">4.6</w:t>
      </w:r>
      <w:r>
        <w:t xml:space="preserve"> </w:t>
      </w:r>
      <w:r>
        <w:t xml:space="preserve">The provider reserves the right to substitute the assigned Mathematician with a professional of equivalent or superior qualifications, subject to prior written notification to the client.</w:t>
      </w:r>
    </w:p>
    <w:p>
      <w:pPr>
        <w:pStyle w:val="BodyText"/>
      </w:pPr>
      <w:r>
        <w:t xml:space="preserve">5. ACCEPTANCE AND AUTHORIZATION</w:t>
      </w:r>
    </w:p>
    <w:p>
      <w:pPr>
        <w:pStyle w:val="BodyText"/>
      </w:pPr>
      <w:r>
        <w:t xml:space="preserve">By signing below, both parties acknowledge that this Quotation Estimate for Mathematician services in United Arab Emirates Abu Dhabi has been reviewed, understood, and accepted in its entirety. This document serves as the foundational financial reference for the subsequent service agreement.</w:t>
      </w:r>
    </w:p>
    <w:p>
      <w:pPr>
        <w:pStyle w:val="BodyText"/>
      </w:pPr>
      <w:r>
        <w:rPr>
          <w:bCs/>
          <w:b/>
        </w:rPr>
        <w:t xml:space="preserve">For Apex Mathematical Consulting LLC</w:t>
      </w:r>
      <w:r>
        <w:br/>
      </w:r>
      <w:r>
        <w:t xml:space="preserve">Name: Dr. Khalid Al Mansoori</w:t>
      </w:r>
      <w:r>
        <w:br/>
      </w:r>
      <w:r>
        <w:t xml:space="preserve">Title: Lead Mathematician &amp; Managing Director</w:t>
      </w:r>
      <w:r>
        <w:br/>
      </w:r>
      <w:r>
        <w:t xml:space="preserve">Date: _______________</w:t>
      </w:r>
    </w:p>
    <w:p>
      <w:pPr>
        <w:pStyle w:val="BodyText"/>
      </w:pPr>
      <w:r>
        <w:rPr>
          <w:bCs/>
          <w:b/>
        </w:rPr>
        <w:t xml:space="preserve">For Emirates Advanced Research Institute</w:t>
      </w:r>
      <w:r>
        <w:br/>
      </w:r>
      <w:r>
        <w:t xml:space="preserve">Name: Dr. Fatima Al Suwaidi</w:t>
      </w:r>
      <w:r>
        <w:br/>
      </w:r>
      <w:r>
        <w:t xml:space="preserve">Title: Director of Applied Sciences</w:t>
      </w:r>
      <w:r>
        <w:br/>
      </w:r>
      <w:r>
        <w:t xml:space="preserve">Date: _______________</w:t>
      </w:r>
    </w:p>
    <w:p>
      <w:pPr>
        <w:pStyle w:val="BodyText"/>
      </w:pPr>
      <w:r>
        <w:t xml:space="preserve">Apex Mathematical Consulting LLC | Al Reem Island, Abu Dhabi, United Arab Emirates</w:t>
      </w:r>
    </w:p>
    <w:p>
      <w:pPr>
        <w:pStyle w:val="BodyText"/>
      </w:pPr>
      <w:r>
        <w:t xml:space="preserve">Quotation Estimate Ref: QE-2025-0472 | Page 1 of 1</w:t>
      </w:r>
    </w:p>
    <w:p>
      <w:pPr>
        <w:pStyle w:val="BodyText"/>
      </w:pPr>
      <w:r>
        <w:t xml:space="preserve">This document is the property of Apex Mathematical Consulting LLC and is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United Arab Emirates Abu Dhabi</dc:title>
  <dc:creator/>
  <dc:language>en</dc:language>
  <cp:keywords/>
  <dcterms:created xsi:type="dcterms:W3CDTF">2026-10-10T03:02:52Z</dcterms:created>
  <dcterms:modified xsi:type="dcterms:W3CDTF">2026-10-10T03:02:52Z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