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quotation-estimate"/>
    <w:p>
      <w:pPr>
        <w:pStyle w:val="Heading1"/>
      </w:pPr>
      <w:r>
        <w:t xml:space="preserve">Quotation Estimate</w:t>
      </w:r>
    </w:p>
    <w:p>
      <w:pPr>
        <w:pStyle w:val="FirstParagraph"/>
      </w:pPr>
      <w:r>
        <w:t xml:space="preserve">Professional Mathematician Consulting Services</w:t>
      </w:r>
    </w:p>
    <w:p>
      <w:pPr>
        <w:pStyle w:val="BodyText"/>
      </w:pPr>
      <w:r>
        <w:t xml:space="preserve">Serving Clients Across United Kingdom London and the Greater Metropolitan Area</w:t>
      </w:r>
    </w:p>
    <w:bookmarkEnd w:id="20"/>
    <w:p>
      <w:pPr>
        <w:pStyle w:val="BodyText"/>
      </w:pPr>
      <w:r>
        <w:rPr>
          <w:bCs/>
          <w:b/>
        </w:rPr>
        <w:t xml:space="preserve">Quotation Reference:</w:t>
      </w:r>
      <w:r>
        <w:t xml:space="preserve"> </w:t>
      </w:r>
      <w:r>
        <w:t xml:space="preserve">QTE-MATH-LDN-2025-0472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Currency:</w:t>
      </w:r>
      <w:r>
        <w:t xml:space="preserve"> </w:t>
      </w:r>
      <w:r>
        <w:t xml:space="preserve">GBP (£)</w:t>
      </w:r>
    </w:p>
    <w:bookmarkStart w:id="21" w:name="provider-details"/>
    <w:p>
      <w:pPr>
        <w:pStyle w:val="Heading2"/>
      </w:pPr>
      <w:r>
        <w:t xml:space="preserve">1.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Consultant Name</w:t>
            </w:r>
          </w:p>
        </w:tc>
        <w:tc>
          <w:tcPr/>
          <w:p>
            <w:pPr>
              <w:pStyle w:val="Compact"/>
              <w:jc w:val="left"/>
            </w:pPr>
            <w:r>
              <w:t xml:space="preserve">Dr. Eleanor Whitfield, PhD (Pure Mathematics, University of Cambridge)</w:t>
            </w:r>
          </w:p>
        </w:tc>
      </w:tr>
      <w:tr>
        <w:tc>
          <w:tcPr/>
          <w:p>
            <w:pPr>
              <w:pStyle w:val="Compact"/>
              <w:jc w:val="left"/>
            </w:pPr>
            <w:r>
              <w:t xml:space="preserve">Professional Title</w:t>
            </w:r>
          </w:p>
        </w:tc>
        <w:tc>
          <w:tcPr/>
          <w:p>
            <w:pPr>
              <w:pStyle w:val="Compact"/>
              <w:jc w:val="left"/>
            </w:pPr>
            <w:r>
              <w:t xml:space="preserve">Senior Mathematician &amp; Quantitative Analyst</w:t>
            </w:r>
          </w:p>
        </w:tc>
      </w:tr>
      <w:tr>
        <w:tc>
          <w:tcPr/>
          <w:p>
            <w:pPr>
              <w:pStyle w:val="Compact"/>
              <w:jc w:val="left"/>
            </w:pPr>
            <w:r>
              <w:t xml:space="preserve">Business Address</w:t>
            </w:r>
          </w:p>
        </w:tc>
        <w:tc>
          <w:tcPr/>
          <w:p>
            <w:pPr>
              <w:pStyle w:val="Compact"/>
              <w:jc w:val="left"/>
            </w:pPr>
            <w:r>
              <w:t xml:space="preserve">Suite 412, 187 Strand, Covent Garden, London WC2R 0EL, United Kingdom</w:t>
            </w:r>
          </w:p>
        </w:tc>
      </w:tr>
      <w:tr>
        <w:tc>
          <w:tcPr/>
          <w:p>
            <w:pPr>
              <w:pStyle w:val="Compact"/>
              <w:jc w:val="left"/>
            </w:pPr>
            <w:r>
              <w:t xml:space="preserve">Telephone</w:t>
            </w:r>
          </w:p>
        </w:tc>
        <w:tc>
          <w:tcPr/>
          <w:p>
            <w:pPr>
              <w:pStyle w:val="Compact"/>
              <w:jc w:val="left"/>
            </w:pPr>
            <w:r>
              <w:t xml:space="preserve">+44 (0)20 7946 0832</w:t>
            </w:r>
          </w:p>
        </w:tc>
      </w:tr>
      <w:tr>
        <w:tc>
          <w:tcPr/>
          <w:p>
            <w:pPr>
              <w:pStyle w:val="Compact"/>
              <w:jc w:val="left"/>
            </w:pPr>
            <w:r>
              <w:t xml:space="preserve">Email</w:t>
            </w:r>
          </w:p>
        </w:tc>
        <w:tc>
          <w:tcPr/>
          <w:p>
            <w:pPr>
              <w:pStyle w:val="Compact"/>
              <w:jc w:val="left"/>
            </w:pPr>
            <w:r>
              <w:t xml:space="preserve">e.whitfield@mathconsultlondon.co.uk</w:t>
            </w:r>
          </w:p>
        </w:tc>
      </w:tr>
      <w:tr>
        <w:tc>
          <w:tcPr/>
          <w:p>
            <w:pPr>
              <w:pStyle w:val="Compact"/>
              <w:jc w:val="left"/>
            </w:pPr>
            <w:r>
              <w:t xml:space="preserve">Company Registration</w:t>
            </w:r>
          </w:p>
        </w:tc>
        <w:tc>
          <w:tcPr/>
          <w:p>
            <w:pPr>
              <w:pStyle w:val="Compact"/>
              <w:jc w:val="left"/>
            </w:pPr>
            <w:r>
              <w:t xml:space="preserve">Whitfield Mathematical Consulting Ltd. – Companies House No. 12847563</w:t>
            </w:r>
          </w:p>
        </w:tc>
      </w:tr>
      <w:tr>
        <w:tc>
          <w:tcPr/>
          <w:p>
            <w:pPr>
              <w:pStyle w:val="Compact"/>
              <w:jc w:val="left"/>
            </w:pPr>
            <w:r>
              <w:t xml:space="preserve">VAT Number</w:t>
            </w:r>
          </w:p>
        </w:tc>
        <w:tc>
          <w:tcPr/>
          <w:p>
            <w:pPr>
              <w:pStyle w:val="Compact"/>
              <w:jc w:val="left"/>
            </w:pPr>
            <w:r>
              <w:t xml:space="preserve">GB 987 6543 21</w:t>
            </w:r>
          </w:p>
        </w:tc>
      </w:tr>
    </w:tbl>
    <w:bookmarkEnd w:id="21"/>
    <w:bookmarkStart w:id="22" w:name="client-details"/>
    <w:p>
      <w:pPr>
        <w:pStyle w:val="Heading2"/>
      </w:pPr>
      <w:r>
        <w:t xml:space="preserve">2. Client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[Client Organisation Name]</w:t>
            </w:r>
          </w:p>
        </w:tc>
      </w:tr>
      <w:tr>
        <w:tc>
          <w:tcPr/>
          <w:p>
            <w:pPr>
              <w:pStyle w:val="Compact"/>
              <w:jc w:val="left"/>
            </w:pPr>
            <w:r>
              <w:t xml:space="preserve">Client Address</w:t>
            </w:r>
          </w:p>
        </w:tc>
        <w:tc>
          <w:tcPr/>
          <w:p>
            <w:pPr>
              <w:pStyle w:val="Compact"/>
              <w:jc w:val="left"/>
            </w:pPr>
            <w:r>
              <w:t xml:space="preserve">[Client Address], London, United Kingdom</w:t>
            </w:r>
          </w:p>
        </w:tc>
      </w:tr>
      <w:tr>
        <w:tc>
          <w:tcPr/>
          <w:p>
            <w:pPr>
              <w:pStyle w:val="Compact"/>
              <w:jc w:val="left"/>
            </w:pPr>
            <w:r>
              <w:t xml:space="preserve">Primary Contact</w:t>
            </w:r>
          </w:p>
        </w:tc>
        <w:tc>
          <w:tcPr/>
          <w:p>
            <w:pPr>
              <w:pStyle w:val="Compact"/>
              <w:jc w:val="left"/>
            </w:pPr>
            <w:r>
              <w:t xml:space="preserve">[Contact Person], [Job Title]</w:t>
            </w:r>
          </w:p>
        </w:tc>
      </w:tr>
      <w:tr>
        <w:tc>
          <w:tcPr/>
          <w:p>
            <w:pPr>
              <w:pStyle w:val="Compact"/>
              <w:jc w:val="left"/>
            </w:pPr>
            <w:r>
              <w:t xml:space="preserve">Project Reference</w:t>
            </w:r>
          </w:p>
        </w:tc>
        <w:tc>
          <w:tcPr/>
          <w:p>
            <w:pPr>
              <w:pStyle w:val="Compact"/>
              <w:jc w:val="left"/>
            </w:pPr>
            <w:r>
              <w:t xml:space="preserve">[Internal Project Code]</w:t>
            </w:r>
          </w:p>
        </w:tc>
      </w:tr>
    </w:tbl>
    <w:bookmarkEnd w:id="22"/>
    <w:bookmarkStart w:id="23" w:name="Xaf4d0d602a3272d04692e8eba4ecf3281db41a3"/>
    <w:p>
      <w:pPr>
        <w:pStyle w:val="Heading2"/>
      </w:pPr>
      <w:r>
        <w:t xml:space="preserve">3. Scope of Services – Mathematician Engagement</w:t>
      </w:r>
    </w:p>
    <w:p>
      <w:pPr>
        <w:pStyle w:val="FirstParagraph"/>
      </w:pPr>
      <w:r>
        <w:t xml:space="preserve">This Quotation Estimate outlines the professional services to be delivered by a qualified Mathematician engaged to support the client's quantitative modelling, statistical analysis, and applied mathematics requirements. The Mathematician will operate primarily from the United Kingdom London office and will be available for on-site visits to the client's premises within the London metropolitan area as specified below.</w:t>
      </w:r>
    </w:p>
    <w:p>
      <w:pPr>
        <w:pStyle w:val="BodyText"/>
      </w:pPr>
      <w:r>
        <w:t xml:space="preserve">The engagement encompasses the following deliverables:</w:t>
      </w:r>
    </w:p>
    <w:p>
      <w:pPr>
        <w:numPr>
          <w:ilvl w:val="0"/>
          <w:numId w:val="1001"/>
        </w:numPr>
        <w:pStyle w:val="Compact"/>
      </w:pPr>
      <w:r>
        <w:t xml:space="preserve">Development and validation of stochastic differential equation models for financial risk assessment.</w:t>
      </w:r>
    </w:p>
    <w:p>
      <w:pPr>
        <w:numPr>
          <w:ilvl w:val="0"/>
          <w:numId w:val="1001"/>
        </w:numPr>
        <w:pStyle w:val="Compact"/>
      </w:pPr>
      <w:r>
        <w:t xml:space="preserve">Design of Monte Carlo simulation frameworks for multi-asset portfolio optimisation.</w:t>
      </w:r>
    </w:p>
    <w:p>
      <w:pPr>
        <w:numPr>
          <w:ilvl w:val="0"/>
          <w:numId w:val="1001"/>
        </w:numPr>
        <w:pStyle w:val="Compact"/>
      </w:pPr>
      <w:r>
        <w:t xml:space="preserve">Statistical inference and Bayesian analysis of historical market data spanning a 20-year period.</w:t>
      </w:r>
    </w:p>
    <w:p>
      <w:pPr>
        <w:numPr>
          <w:ilvl w:val="0"/>
          <w:numId w:val="1001"/>
        </w:numPr>
        <w:pStyle w:val="Compact"/>
      </w:pPr>
      <w:r>
        <w:t xml:space="preserve">Authorship of a comprehensive technical report (minimum 60 pages) documenting all mathematical derivations, assumptions, and sensitivity analyses.</w:t>
      </w:r>
    </w:p>
    <w:p>
      <w:pPr>
        <w:numPr>
          <w:ilvl w:val="0"/>
          <w:numId w:val="1001"/>
        </w:numPr>
        <w:pStyle w:val="Compact"/>
      </w:pPr>
      <w:r>
        <w:t xml:space="preserve">Two on-site workshops (half-day each) conducted at the client's London office to present findings and train internal staff on model interpretation.</w:t>
      </w:r>
    </w:p>
    <w:p>
      <w:pPr>
        <w:numPr>
          <w:ilvl w:val="0"/>
          <w:numId w:val="1001"/>
        </w:numPr>
        <w:pStyle w:val="Compact"/>
      </w:pPr>
      <w:r>
        <w:t xml:space="preserve">Post-delivery support: 40 hours of remote consultation and model refinement over a 90-day period following final report submission.</w:t>
      </w:r>
    </w:p>
    <w:bookmarkEnd w:id="23"/>
    <w:bookmarkStart w:id="24" w:name="itemised-cost-breakdown"/>
    <w:p>
      <w:pPr>
        <w:pStyle w:val="Heading2"/>
      </w:pPr>
      <w:r>
        <w:t xml:space="preserve">4.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Rate (GBP)</w:t>
            </w:r>
          </w:p>
        </w:tc>
        <w:tc>
          <w:tcPr/>
          <w:p>
            <w:pPr>
              <w:pStyle w:val="Compact"/>
              <w:jc w:val="left"/>
            </w:pPr>
            <w:r>
              <w:t xml:space="preserve">Hours / Units</w:t>
            </w:r>
          </w:p>
        </w:tc>
        <w:tc>
          <w:tcPr/>
          <w:p>
            <w:pPr>
              <w:pStyle w:val="Compact"/>
              <w:jc w:val="left"/>
            </w:pPr>
            <w:r>
              <w:t xml:space="preserve">Subtotal (GBP)</w:t>
            </w:r>
          </w:p>
        </w:tc>
      </w:tr>
      <w:tr>
        <w:tc>
          <w:tcPr/>
          <w:p>
            <w:pPr>
              <w:pStyle w:val="Compact"/>
              <w:jc w:val="left"/>
            </w:pPr>
            <w:r>
              <w:t xml:space="preserve">01</w:t>
            </w:r>
          </w:p>
        </w:tc>
        <w:tc>
          <w:tcPr/>
          <w:p>
            <w:pPr>
              <w:pStyle w:val="Compact"/>
              <w:jc w:val="left"/>
            </w:pPr>
            <w:r>
              <w:t xml:space="preserve">Mathematician – Stochastic Modelling &amp; SDE Development (on-site, United Kingdom London)</w:t>
            </w:r>
          </w:p>
        </w:tc>
        <w:tc>
          <w:tcPr/>
          <w:p>
            <w:pPr>
              <w:pStyle w:val="Compact"/>
              <w:jc w:val="left"/>
            </w:pPr>
            <w:r>
              <w:t xml:space="preserve">£185.00/hr</w:t>
            </w:r>
          </w:p>
        </w:tc>
        <w:tc>
          <w:tcPr/>
          <w:p>
            <w:pPr>
              <w:pStyle w:val="Compact"/>
              <w:jc w:val="left"/>
            </w:pPr>
            <w:r>
              <w:t xml:space="preserve">60 hrs</w:t>
            </w:r>
          </w:p>
        </w:tc>
        <w:tc>
          <w:tcPr/>
          <w:p>
            <w:pPr>
              <w:pStyle w:val="Compact"/>
              <w:jc w:val="left"/>
            </w:pPr>
            <w:r>
              <w:t xml:space="preserve">£11,100.00</w:t>
            </w:r>
          </w:p>
        </w:tc>
      </w:tr>
      <w:tr>
        <w:tc>
          <w:tcPr/>
          <w:p>
            <w:pPr>
              <w:pStyle w:val="Compact"/>
              <w:jc w:val="left"/>
            </w:pPr>
            <w:r>
              <w:t xml:space="preserve">02</w:t>
            </w:r>
          </w:p>
        </w:tc>
        <w:tc>
          <w:tcPr/>
          <w:p>
            <w:pPr>
              <w:pStyle w:val="Compact"/>
              <w:jc w:val="left"/>
            </w:pPr>
            <w:r>
              <w:t xml:space="preserve">Mathematician – Monte Carlo Simulation Design &amp; Implementation</w:t>
            </w:r>
          </w:p>
        </w:tc>
        <w:tc>
          <w:tcPr/>
          <w:p>
            <w:pPr>
              <w:pStyle w:val="Compact"/>
              <w:jc w:val="left"/>
            </w:pPr>
            <w:r>
              <w:t xml:space="preserve">£185.00/hr</w:t>
            </w:r>
          </w:p>
        </w:tc>
        <w:tc>
          <w:tcPr/>
          <w:p>
            <w:pPr>
              <w:pStyle w:val="Compact"/>
              <w:jc w:val="left"/>
            </w:pPr>
            <w:r>
              <w:t xml:space="preserve">48 hrs</w:t>
            </w:r>
          </w:p>
        </w:tc>
        <w:tc>
          <w:tcPr/>
          <w:p>
            <w:pPr>
              <w:pStyle w:val="Compact"/>
              <w:jc w:val="left"/>
            </w:pPr>
            <w:r>
              <w:t xml:space="preserve">£8,880.00</w:t>
            </w:r>
          </w:p>
        </w:tc>
      </w:tr>
      <w:tr>
        <w:tc>
          <w:tcPr/>
          <w:p>
            <w:pPr>
              <w:pStyle w:val="Compact"/>
              <w:jc w:val="left"/>
            </w:pPr>
            <w:r>
              <w:t xml:space="preserve">03</w:t>
            </w:r>
          </w:p>
        </w:tc>
        <w:tc>
          <w:tcPr/>
          <w:p>
            <w:pPr>
              <w:pStyle w:val="Compact"/>
              <w:jc w:val="left"/>
            </w:pPr>
            <w:r>
              <w:t xml:space="preserve">Mathematician – Bayesian Statistical Analysis &amp; Inference</w:t>
            </w:r>
          </w:p>
        </w:tc>
        <w:tc>
          <w:tcPr/>
          <w:p>
            <w:pPr>
              <w:pStyle w:val="Compact"/>
              <w:jc w:val="left"/>
            </w:pPr>
            <w:r>
              <w:t xml:space="preserve">£185.00/hr</w:t>
            </w:r>
          </w:p>
        </w:tc>
        <w:tc>
          <w:tcPr/>
          <w:p>
            <w:pPr>
              <w:pStyle w:val="Compact"/>
              <w:jc w:val="left"/>
            </w:pPr>
            <w:r>
              <w:t xml:space="preserve">40 hrs</w:t>
            </w:r>
          </w:p>
        </w:tc>
        <w:tc>
          <w:tcPr/>
          <w:p>
            <w:pPr>
              <w:pStyle w:val="Compact"/>
              <w:jc w:val="left"/>
            </w:pPr>
            <w:r>
              <w:t xml:space="preserve">£7,400.00</w:t>
            </w:r>
          </w:p>
        </w:tc>
      </w:tr>
      <w:tr>
        <w:tc>
          <w:tcPr/>
          <w:p>
            <w:pPr>
              <w:pStyle w:val="Compact"/>
              <w:jc w:val="left"/>
            </w:pPr>
            <w:r>
              <w:t xml:space="preserve">04</w:t>
            </w:r>
          </w:p>
        </w:tc>
        <w:tc>
          <w:tcPr/>
          <w:p>
            <w:pPr>
              <w:pStyle w:val="Compact"/>
              <w:jc w:val="left"/>
            </w:pPr>
            <w:r>
              <w:t xml:space="preserve">Technical Report Authoring, Peer Review &amp; Revision (60+ pages)</w:t>
            </w:r>
          </w:p>
        </w:tc>
        <w:tc>
          <w:tcPr/>
          <w:p>
            <w:pPr>
              <w:pStyle w:val="Compact"/>
              <w:jc w:val="left"/>
            </w:pPr>
            <w:r>
              <w:t xml:space="preserve">£2,500.00 flat</w:t>
            </w:r>
          </w:p>
        </w:tc>
        <w:tc>
          <w:tcPr/>
          <w:p>
            <w:pPr>
              <w:pStyle w:val="Compact"/>
              <w:jc w:val="left"/>
            </w:pPr>
            <w:r>
              <w:t xml:space="preserve">1 lot</w:t>
            </w:r>
          </w:p>
        </w:tc>
        <w:tc>
          <w:tcPr/>
          <w:p>
            <w:pPr>
              <w:pStyle w:val="Compact"/>
              <w:jc w:val="left"/>
            </w:pPr>
            <w:r>
              <w:t xml:space="preserve">£2,500.00</w:t>
            </w:r>
          </w:p>
        </w:tc>
      </w:tr>
      <w:tr>
        <w:tc>
          <w:tcPr/>
          <w:p>
            <w:pPr>
              <w:pStyle w:val="Compact"/>
              <w:jc w:val="left"/>
            </w:pPr>
            <w:r>
              <w:t xml:space="preserve">05</w:t>
            </w:r>
          </w:p>
        </w:tc>
        <w:tc>
          <w:tcPr/>
          <w:p>
            <w:pPr>
              <w:pStyle w:val="Compact"/>
              <w:jc w:val="left"/>
            </w:pPr>
            <w:r>
              <w:t xml:space="preserve">On-Site Workshop Delivery (2 × half-day sessions, London, United Kingdom)</w:t>
            </w:r>
          </w:p>
        </w:tc>
        <w:tc>
          <w:tcPr/>
          <w:p>
            <w:pPr>
              <w:pStyle w:val="Compact"/>
              <w:jc w:val="left"/>
            </w:pPr>
            <w:r>
              <w:t xml:space="preserve">£1,200.00/session</w:t>
            </w:r>
          </w:p>
        </w:tc>
        <w:tc>
          <w:tcPr/>
          <w:p>
            <w:pPr>
              <w:pStyle w:val="Compact"/>
              <w:jc w:val="left"/>
            </w:pPr>
            <w:r>
              <w:t xml:space="preserve">2 sessions</w:t>
            </w:r>
          </w:p>
        </w:tc>
        <w:tc>
          <w:tcPr/>
          <w:p>
            <w:pPr>
              <w:pStyle w:val="Compact"/>
              <w:jc w:val="left"/>
            </w:pPr>
            <w:r>
              <w:t xml:space="preserve">£2,400.00</w:t>
            </w:r>
          </w:p>
        </w:tc>
      </w:tr>
      <w:tr>
        <w:tc>
          <w:tcPr/>
          <w:p>
            <w:pPr>
              <w:pStyle w:val="Compact"/>
              <w:jc w:val="left"/>
            </w:pPr>
            <w:r>
              <w:t xml:space="preserve">06</w:t>
            </w:r>
          </w:p>
        </w:tc>
        <w:tc>
          <w:tcPr/>
          <w:p>
            <w:pPr>
              <w:pStyle w:val="Compact"/>
              <w:jc w:val="left"/>
            </w:pPr>
            <w:r>
              <w:t xml:space="preserve">Post-Delivery Remote Support &amp; Model Refinement (90-day window)</w:t>
            </w:r>
          </w:p>
        </w:tc>
        <w:tc>
          <w:tcPr/>
          <w:p>
            <w:pPr>
              <w:pStyle w:val="Compact"/>
              <w:jc w:val="left"/>
            </w:pPr>
            <w:r>
              <w:t xml:space="preserve">£140.00/hr</w:t>
            </w:r>
          </w:p>
        </w:tc>
        <w:tc>
          <w:tcPr/>
          <w:p>
            <w:pPr>
              <w:pStyle w:val="Compact"/>
              <w:jc w:val="left"/>
            </w:pPr>
            <w:r>
              <w:t xml:space="preserve">40 hrs</w:t>
            </w:r>
          </w:p>
        </w:tc>
        <w:tc>
          <w:tcPr/>
          <w:p>
            <w:pPr>
              <w:pStyle w:val="Compact"/>
              <w:jc w:val="left"/>
            </w:pPr>
            <w:r>
              <w:t xml:space="preserve">£5,600.00</w:t>
            </w:r>
          </w:p>
        </w:tc>
      </w:tr>
      <w:tr>
        <w:tc>
          <w:tcPr/>
          <w:p>
            <w:pPr>
              <w:pStyle w:val="Compact"/>
              <w:jc w:val="left"/>
            </w:pPr>
            <w:r>
              <w:t xml:space="preserve">07</w:t>
            </w:r>
          </w:p>
        </w:tc>
        <w:tc>
          <w:tcPr/>
          <w:p>
            <w:pPr>
              <w:pStyle w:val="Compact"/>
              <w:jc w:val="left"/>
            </w:pPr>
            <w:r>
              <w:t xml:space="preserve">Travel &amp; Local Transport within United Kingdom London (estimated)</w:t>
            </w:r>
          </w:p>
        </w:tc>
        <w:tc>
          <w:tcPr/>
          <w:p>
            <w:pPr>
              <w:pStyle w:val="Compact"/>
              <w:jc w:val="left"/>
            </w:pPr>
            <w:r>
              <w:t xml:space="preserve">£45.00/day</w:t>
            </w:r>
          </w:p>
        </w:tc>
        <w:tc>
          <w:tcPr/>
          <w:p>
            <w:pPr>
              <w:pStyle w:val="Compact"/>
              <w:jc w:val="left"/>
            </w:pPr>
            <w:r>
              <w:t xml:space="preserve">12 days</w:t>
            </w:r>
          </w:p>
        </w:tc>
        <w:tc>
          <w:tcPr/>
          <w:p>
            <w:pPr>
              <w:pStyle w:val="Compact"/>
              <w:jc w:val="left"/>
            </w:pPr>
            <w:r>
              <w:t xml:space="preserve">£540.00</w:t>
            </w:r>
          </w:p>
        </w:tc>
      </w:tr>
      <w:tr>
        <w:tc>
          <w:tcPr/>
          <w:p>
            <w:pPr>
              <w:pStyle w:val="Compact"/>
              <w:jc w:val="left"/>
            </w:pPr>
            <w:r>
              <w:t xml:space="preserve">08</w:t>
            </w:r>
          </w:p>
        </w:tc>
        <w:tc>
          <w:tcPr/>
          <w:p>
            <w:pPr>
              <w:pStyle w:val="Compact"/>
              <w:jc w:val="left"/>
            </w:pPr>
            <w:r>
              <w:t xml:space="preserve">Software Licensing (MATLAB, R, Python Scientific Stack – project duration)</w:t>
            </w:r>
          </w:p>
        </w:tc>
        <w:tc>
          <w:tcPr/>
          <w:p>
            <w:pPr>
              <w:pStyle w:val="Compact"/>
              <w:jc w:val="left"/>
            </w:pPr>
            <w:r>
              <w:t xml:space="preserve">£850.00 flat</w:t>
            </w:r>
          </w:p>
        </w:tc>
        <w:tc>
          <w:tcPr/>
          <w:p>
            <w:pPr>
              <w:pStyle w:val="Compact"/>
              <w:jc w:val="left"/>
            </w:pPr>
            <w:r>
              <w:t xml:space="preserve">1 lot</w:t>
            </w:r>
          </w:p>
        </w:tc>
        <w:tc>
          <w:tcPr/>
          <w:p>
            <w:pPr>
              <w:pStyle w:val="Compact"/>
              <w:jc w:val="left"/>
            </w:pPr>
            <w:r>
              <w:t xml:space="preserve">£850.00</w:t>
            </w:r>
          </w:p>
        </w:tc>
      </w:tr>
      <w:tr>
        <w:tc>
          <w:tcPr>
            <w:gridSpan w:val="4"/>
          </w:tcPr>
          <w:p>
            <w:pPr>
              <w:pStyle w:val="Compact"/>
              <w:jc w:val="left"/>
            </w:pPr>
            <w:r>
              <w:t xml:space="preserve">Subtotal (excl. VAT)</w:t>
            </w:r>
          </w:p>
        </w:tc>
        <w:tc>
          <w:tcPr/>
          <w:p>
            <w:pPr>
              <w:pStyle w:val="Compact"/>
              <w:jc w:val="left"/>
            </w:pPr>
            <w:r>
              <w:t xml:space="preserve">£39,270.00</w:t>
            </w:r>
          </w:p>
        </w:tc>
      </w:tr>
      <w:tr>
        <w:tc>
          <w:tcPr>
            <w:gridSpan w:val="4"/>
          </w:tcPr>
          <w:p>
            <w:pPr>
              <w:pStyle w:val="Compact"/>
              <w:jc w:val="left"/>
            </w:pPr>
            <w:r>
              <w:t xml:space="preserve">VAT @ 20% (United Kingdom standard rate)</w:t>
            </w:r>
          </w:p>
        </w:tc>
        <w:tc>
          <w:tcPr/>
          <w:p>
            <w:pPr>
              <w:pStyle w:val="Compact"/>
              <w:jc w:val="left"/>
            </w:pPr>
            <w:r>
              <w:t xml:space="preserve">£7,854.00</w:t>
            </w:r>
          </w:p>
        </w:tc>
      </w:tr>
      <w:tr>
        <w:tc>
          <w:tcPr>
            <w:gridSpan w:val="4"/>
          </w:tcPr>
          <w:p>
            <w:pPr>
              <w:pStyle w:val="Compact"/>
              <w:jc w:val="left"/>
            </w:pPr>
            <w:r>
              <w:rPr>
                <w:bCs/>
                <w:b/>
              </w:rPr>
              <w:t xml:space="preserve">TOTAL AMOUNT DUE (incl. VAT)</w:t>
            </w:r>
          </w:p>
        </w:tc>
        <w:tc>
          <w:tcPr/>
          <w:p>
            <w:pPr>
              <w:pStyle w:val="Compact"/>
              <w:jc w:val="left"/>
            </w:pPr>
            <w:r>
              <w:rPr>
                <w:bCs/>
                <w:b/>
              </w:rPr>
              <w:t xml:space="preserve">£47,124.00</w:t>
            </w:r>
          </w:p>
        </w:tc>
      </w:tr>
    </w:tbl>
    <w:bookmarkEnd w:id="24"/>
    <w:bookmarkStart w:id="25" w:name="payment-terms"/>
    <w:p>
      <w:pPr>
        <w:pStyle w:val="Heading2"/>
      </w:pPr>
      <w:r>
        <w:t xml:space="preserve">5. Payment Terms</w:t>
      </w:r>
    </w:p>
    <w:p>
      <w:pPr>
        <w:pStyle w:val="FirstParagraph"/>
      </w:pPr>
      <w:r>
        <w:t xml:space="preserve">Payment for this Quotation Estimate shall be made in accordance with the following schedule:</w:t>
      </w:r>
    </w:p>
    <w:p>
      <w:pPr>
        <w:numPr>
          <w:ilvl w:val="0"/>
          <w:numId w:val="1002"/>
        </w:numPr>
        <w:pStyle w:val="Compact"/>
      </w:pPr>
      <w:r>
        <w:rPr>
          <w:bCs/>
          <w:b/>
        </w:rPr>
        <w:t xml:space="preserve">30% deposit</w:t>
      </w:r>
      <w:r>
        <w:t xml:space="preserve"> </w:t>
      </w:r>
      <w:r>
        <w:t xml:space="preserve">(£14,137.20 incl. VAT) due upon acceptance of this Quotation Estimate and execution of the service agreement.</w:t>
      </w:r>
    </w:p>
    <w:p>
      <w:pPr>
        <w:numPr>
          <w:ilvl w:val="0"/>
          <w:numId w:val="1002"/>
        </w:numPr>
        <w:pStyle w:val="Compact"/>
      </w:pPr>
      <w:r>
        <w:rPr>
          <w:bCs/>
          <w:b/>
        </w:rPr>
        <w:t xml:space="preserve">40% milestone payment</w:t>
      </w:r>
      <w:r>
        <w:t xml:space="preserve"> </w:t>
      </w:r>
      <w:r>
        <w:t xml:space="preserve">(£18,849.60 incl. VAT) due upon delivery of the draft technical report for client review.</w:t>
      </w:r>
    </w:p>
    <w:p>
      <w:pPr>
        <w:numPr>
          <w:ilvl w:val="0"/>
          <w:numId w:val="1002"/>
        </w:numPr>
        <w:pStyle w:val="Compact"/>
      </w:pPr>
      <w:r>
        <w:rPr>
          <w:bCs/>
          <w:b/>
        </w:rPr>
        <w:t xml:space="preserve">30% final payment</w:t>
      </w:r>
      <w:r>
        <w:t xml:space="preserve"> </w:t>
      </w:r>
      <w:r>
        <w:t xml:space="preserve">(£14,137.20 incl. VAT) due within 14 calendar days of final report acceptance and completion of both on-site workshops.</w:t>
      </w:r>
    </w:p>
    <w:p>
      <w:pPr>
        <w:pStyle w:val="FirstParagraph"/>
      </w:pPr>
      <w:r>
        <w:t xml:space="preserve">All payments shall be made by direct bank transfer to the account details provided in the accompanying invoice. Late payments will attract interest at a rate of 4% above the Bank of England base rate, in accordance with the Late Payment of Commercial Debts (Interest) Act 1998 applicable in the United Kingdom.</w:t>
      </w:r>
    </w:p>
    <w:bookmarkEnd w:id="25"/>
    <w:bookmarkStart w:id="26" w:name="terms-and-conditions"/>
    <w:p>
      <w:pPr>
        <w:pStyle w:val="Heading2"/>
      </w:pPr>
      <w:r>
        <w:t xml:space="preserve">6. Terms and Conditions</w:t>
      </w:r>
    </w:p>
    <w:p>
      <w:pPr>
        <w:numPr>
          <w:ilvl w:val="0"/>
          <w:numId w:val="1003"/>
        </w:numPr>
        <w:pStyle w:val="Compact"/>
      </w:pPr>
      <w:r>
        <w:t xml:space="preserve">This Quotation Estimate is valid for 30 calendar days from the date of issue. After the expiry date, all rates and availability of the Mathematician are subject to reconfirmation.</w:t>
      </w:r>
    </w:p>
    <w:p>
      <w:pPr>
        <w:numPr>
          <w:ilvl w:val="0"/>
          <w:numId w:val="1003"/>
        </w:numPr>
        <w:pStyle w:val="Compact"/>
      </w:pPr>
      <w:r>
        <w:t xml:space="preserve">All work performed by the Mathematician shall be conducted in accordance with the professional standards of the Institute of Mathematics and its Applications (IMA), United Kingdom.</w:t>
      </w:r>
    </w:p>
    <w:p>
      <w:pPr>
        <w:numPr>
          <w:ilvl w:val="0"/>
          <w:numId w:val="1003"/>
        </w:numPr>
        <w:pStyle w:val="Compact"/>
      </w:pPr>
      <w:r>
        <w:t xml:space="preserve">The client grants the Mathematician full access to all data, systems, and documentation necessary to complete the scope of work described herein. The client warrants that all data provided is lawfully obtained and free from third-party encumbrances.</w:t>
      </w:r>
    </w:p>
    <w:p>
      <w:pPr>
        <w:numPr>
          <w:ilvl w:val="0"/>
          <w:numId w:val="1003"/>
        </w:numPr>
        <w:pStyle w:val="Compact"/>
      </w:pPr>
      <w:r>
        <w:t xml:space="preserve">Intellectual property in the final deliverables (reports, code, models) shall vest in the client upon full payment. The Mathematician retains the right to reference the engagement in professional portfolios, subject to a 30-day confidentiality clearance period.</w:t>
      </w:r>
    </w:p>
    <w:p>
      <w:pPr>
        <w:numPr>
          <w:ilvl w:val="0"/>
          <w:numId w:val="1003"/>
        </w:numPr>
        <w:pStyle w:val="Compact"/>
      </w:pPr>
      <w:r>
        <w:t xml:space="preserve">Either party may terminate this engagement with 14 days' written notice. In the event of early termination, the client shall pay for all work completed up to the termination date, plus a 10% administrative fee on the remaining contract value.</w:t>
      </w:r>
    </w:p>
    <w:p>
      <w:pPr>
        <w:numPr>
          <w:ilvl w:val="0"/>
          <w:numId w:val="1003"/>
        </w:numPr>
        <w:pStyle w:val="Compact"/>
      </w:pPr>
      <w:r>
        <w:t xml:space="preserve">This Quotation Estimate and any resulting service agreement shall be governed by and construed in accordance with the laws of England and Wales. Any disputes shall be subject to the exclusive jurisdiction of the courts of London, United Kingdom.</w:t>
      </w:r>
    </w:p>
    <w:p>
      <w:pPr>
        <w:numPr>
          <w:ilvl w:val="0"/>
          <w:numId w:val="1003"/>
        </w:numPr>
        <w:pStyle w:val="Compact"/>
      </w:pPr>
      <w:r>
        <w:t xml:space="preserve">The Mathematician shall comply with all applicable United Kingdom data protection legislation, including the UK General Data Protection Regulation (UK GDPR) and the Data Protection Act 2018, in the handling of any personal data encountered during the engagement.</w:t>
      </w:r>
    </w:p>
    <w:p>
      <w:pPr>
        <w:numPr>
          <w:ilvl w:val="0"/>
          <w:numId w:val="1003"/>
        </w:numPr>
        <w:pStyle w:val="Compact"/>
      </w:pPr>
      <w:r>
        <w:t xml:space="preserve">Force majeure events, including but not limited to severe weather affecting transport across United Kingdom London, shall extend deadlines proportionally without penalty to either party.</w:t>
      </w:r>
    </w:p>
    <w:p>
      <w:pPr>
        <w:pStyle w:val="FirstParagraph"/>
      </w:pPr>
      <w:r>
        <w:rPr>
          <w:bCs/>
          <w:b/>
        </w:rPr>
        <w:t xml:space="preserve">Note:</w:t>
      </w:r>
      <w:r>
        <w:t xml:space="preserve"> </w:t>
      </w:r>
      <w:r>
        <w:t xml:space="preserve">This Quotation Estimate is a non-binding estimate of costs. A formal, legally binding Service Agreement will be prepared and executed by both parties prior to the commencement of any work. All figures are quoted in British Pounds Sterling (GBP) and are inclusive of the standard United Kingdom VAT rate of 20% unless otherwise stated.</w:t>
      </w:r>
    </w:p>
    <w:bookmarkEnd w:id="26"/>
    <w:bookmarkStart w:id="27" w:name="acceptance"/>
    <w:p>
      <w:pPr>
        <w:pStyle w:val="Heading2"/>
      </w:pPr>
      <w:r>
        <w:t xml:space="preserve">7. Acceptance</w:t>
      </w:r>
    </w:p>
    <w:p>
      <w:pPr>
        <w:pStyle w:val="FirstParagraph"/>
      </w:pPr>
      <w:r>
        <w:t xml:space="preserve">By signing below, the client confirms acceptance of this Quotation Estimate for Mathematician consulting services in United Kingdom London and authorises the provider to commence work in accordance with the terms set out above.</w:t>
      </w:r>
    </w:p>
    <w:p>
      <w:pPr>
        <w:pStyle w:val="BodyText"/>
      </w:pPr>
      <w:r>
        <w:rPr>
          <w:bCs/>
          <w:b/>
        </w:rPr>
        <w:t xml:space="preserve">For and on behalf of the Provider:</w:t>
      </w:r>
      <w:r>
        <w:br/>
      </w:r>
      <w:r>
        <w:br/>
      </w:r>
      <w:r>
        <w:t xml:space="preserve">Name: Dr. Eleanor Whitfield</w:t>
      </w:r>
      <w:r>
        <w:br/>
      </w:r>
      <w:r>
        <w:t xml:space="preserve">Title: Director, Whitfield Mathematical Consulting Ltd.</w:t>
      </w:r>
      <w:r>
        <w:br/>
      </w:r>
      <w:r>
        <w:t xml:space="preserve">Signature: _________________________</w:t>
      </w:r>
      <w:r>
        <w:br/>
      </w:r>
      <w:r>
        <w:t xml:space="preserve">Date: _________________________</w:t>
      </w:r>
    </w:p>
    <w:p>
      <w:pPr>
        <w:pStyle w:val="BodyText"/>
      </w:pPr>
      <w:r>
        <w:rPr>
          <w:bCs/>
          <w:b/>
        </w:rPr>
        <w:t xml:space="preserve">For and on behalf of the Client:</w:t>
      </w:r>
      <w:r>
        <w:br/>
      </w:r>
      <w:r>
        <w:br/>
      </w:r>
      <w:r>
        <w:t xml:space="preserve">Name: _________________________</w:t>
      </w:r>
      <w:r>
        <w:br/>
      </w:r>
      <w:r>
        <w:t xml:space="preserve">Title: _________________________</w:t>
      </w:r>
      <w:r>
        <w:br/>
      </w:r>
      <w:r>
        <w:t xml:space="preserve">Signature: _________________________</w:t>
      </w:r>
      <w:r>
        <w:br/>
      </w:r>
      <w:r>
        <w:t xml:space="preserve">Date: _________________________</w:t>
      </w:r>
    </w:p>
    <w:p>
      <w:pPr>
        <w:pStyle w:val="BodyText"/>
      </w:pPr>
      <w:r>
        <w:t xml:space="preserve">Whitfield Mathematical Consulting Ltd. | 187 Strand, London WC2R 0EL, United Kingdom | Registered in England &amp; Wales No. 12847563</w:t>
      </w:r>
    </w:p>
    <w:p>
      <w:pPr>
        <w:pStyle w:val="BodyText"/>
      </w:pPr>
      <w:r>
        <w:t xml:space="preserve">This Quotation Estimate was prepared for the exclusive use of the named client. Unauthorised reproduction or distribution is prohibited.</w:t>
      </w:r>
    </w:p>
    <w:p>
      <w:pPr>
        <w:pStyle w:val="BodyText"/>
      </w:pPr>
      <w:r>
        <w:t xml:space="preserve">Document ID: QTE-MATH-LDN-2025-0472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United Kingdom London</dc:title>
  <dc:creator/>
  <dc:language>en</dc:language>
  <cp:keywords/>
  <dcterms:created xsi:type="dcterms:W3CDTF">2026-10-10T04:20:36Z</dcterms:created>
  <dcterms:modified xsi:type="dcterms:W3CDTF">2026-10-10T04:20:36Z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