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quantum-analytics-advisory-group"/>
    <w:p>
      <w:pPr>
        <w:pStyle w:val="Heading1"/>
      </w:pPr>
      <w:r>
        <w:t xml:space="preserve">QUANTUM ANALYTICS &amp; ADVISORY GROUP</w:t>
      </w:r>
    </w:p>
    <w:p>
      <w:pPr>
        <w:pStyle w:val="FirstParagraph"/>
      </w:pPr>
      <w:r>
        <w:t xml:space="preserve">1200 Biscayne Boulevard, Suite 2400, Miami, Florida 33132, United States</w:t>
      </w:r>
    </w:p>
    <w:p>
      <w:pPr>
        <w:pStyle w:val="BodyText"/>
      </w:pPr>
      <w:r>
        <w:t xml:space="preserve">Phone: (305) 555-0187 | Email: estimates@quantumanalytics-miami.com</w:t>
      </w:r>
    </w:p>
    <w:p>
      <w:pPr>
        <w:pStyle w:val="BodyText"/>
      </w:pPr>
      <w:r>
        <w:t xml:space="preserve">Florida Business License No. FL-2024-88341 | EIN: 82-4471903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QAE-2025-0417-MIA</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Director of Client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Street Address], Miami, FL 33101, United States</w:t>
      </w:r>
    </w:p>
    <w:p>
      <w:pPr>
        <w:pStyle w:val="BodyText"/>
      </w:pPr>
      <w:r>
        <w:rPr>
          <w:bCs/>
          <w:b/>
        </w:rPr>
        <w:t xml:space="preserve">Contact Person:</w:t>
      </w:r>
      <w:r>
        <w:t xml:space="preserve"> </w:t>
      </w:r>
      <w:r>
        <w:t xml:space="preserve">[Name], Project Director</w:t>
      </w:r>
    </w:p>
    <w:p>
      <w:pPr>
        <w:pStyle w:val="BodyText"/>
      </w:pPr>
      <w:r>
        <w:rPr>
          <w:bCs/>
          <w:b/>
        </w:rPr>
        <w:t xml:space="preserve">Email:</w:t>
      </w:r>
      <w:r>
        <w:t xml:space="preserve"> </w:t>
      </w:r>
      <w:r>
        <w:t xml:space="preserve">[client.email@organization.com]</w:t>
      </w:r>
    </w:p>
    <w:bookmarkEnd w:id="22"/>
    <w:p>
      <w:pPr>
        <w:pStyle w:val="BodyText"/>
      </w:pPr>
      <w:r>
        <w:t xml:space="preserve">This</w:t>
      </w:r>
      <w:r>
        <w:t xml:space="preserve"> </w:t>
      </w:r>
      <w:r>
        <w:t xml:space="preserve">Quotation Estimate</w:t>
      </w:r>
      <w:r>
        <w:t xml:space="preserve"> </w:t>
      </w:r>
      <w:r>
        <w:t xml:space="preserve">is formally issued by Quantum Analytics &amp; Advisory Group, a specialized consultancy headquartered in</w:t>
      </w:r>
      <w:r>
        <w:t xml:space="preserve"> </w:t>
      </w:r>
      <w:r>
        <w:t xml:space="preserve">Miami, United States</w:t>
      </w:r>
      <w:r>
        <w:t xml:space="preserve">, to provide a comprehensive and itemized financial projection for the engagement of a senior</w:t>
      </w:r>
      <w:r>
        <w:t xml:space="preserve"> </w:t>
      </w:r>
      <w:r>
        <w:t xml:space="preserve">Mathematician</w:t>
      </w:r>
      <w:r>
        <w:t xml:space="preserve"> </w:t>
      </w:r>
      <w:r>
        <w:t xml:space="preserve">to deliver advanced quantitative modeling, statistical analysis, and applied research services. This document serves as a binding cost estimate for the scope of work described herein and is intended to assist the client in making an informed procurement decision in accordance with applicable Florida state and United States federal contracting regulations.</w:t>
      </w:r>
    </w:p>
    <w:p>
      <w:pPr>
        <w:pStyle w:val="BodyText"/>
      </w:pPr>
      <w:r>
        <w:t xml:space="preserve">Scope of Services – Mathematician Engagement</w:t>
      </w:r>
    </w:p>
    <w:p>
      <w:pPr>
        <w:pStyle w:val="BodyText"/>
      </w:pPr>
      <w:r>
        <w:t xml:space="preserve">The</w:t>
      </w:r>
      <w:r>
        <w:t xml:space="preserve"> </w:t>
      </w:r>
      <w:r>
        <w:t xml:space="preserve">Mathematician</w:t>
      </w:r>
      <w:r>
        <w:t xml:space="preserve"> </w:t>
      </w:r>
      <w:r>
        <w:t xml:space="preserve">to be engaged under this</w:t>
      </w:r>
      <w:r>
        <w:t xml:space="preserve"> </w:t>
      </w:r>
      <w:r>
        <w:t xml:space="preserve">Quotation Estimate</w:t>
      </w:r>
      <w:r>
        <w:t xml:space="preserve"> </w:t>
      </w:r>
      <w:r>
        <w:t xml:space="preserve">shall possess a minimum of a Doctorate in Applied Mathematics, Pure Mathematics, or a closely related quantitative discipline, with no fewer than ten (10) years of professional experience in quantitative modeling, optimization theory, stochastic processes, and computational mathematics. The</w:t>
      </w:r>
      <w:r>
        <w:t xml:space="preserve"> </w:t>
      </w:r>
      <w:r>
        <w:t xml:space="preserve">Mathematician</w:t>
      </w:r>
      <w:r>
        <w:t xml:space="preserve"> </w:t>
      </w:r>
      <w:r>
        <w:t xml:space="preserve">will be based in our</w:t>
      </w:r>
      <w:r>
        <w:t xml:space="preserve"> </w:t>
      </w:r>
      <w:r>
        <w:t xml:space="preserve">Miami, United States</w:t>
      </w:r>
      <w:r>
        <w:t xml:space="preserve"> </w:t>
      </w:r>
      <w:r>
        <w:t xml:space="preserve">office and will provide on-site and remote support as dictated by the project timeline. All deliverables will conform to the standards established by the American Mathematical Society and applicable United States federal data-handling protocols.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Mathematician – Quantitative Modeling &amp; Optimization (Full-time engagement, on-site in Miami, United States)</w:t>
            </w:r>
          </w:p>
        </w:tc>
        <w:tc>
          <w:tcPr/>
          <w:p>
            <w:pPr>
              <w:pStyle w:val="Compact"/>
              <w:jc w:val="left"/>
            </w:pPr>
            <w:r>
              <w:t xml:space="preserve">6 months</w:t>
            </w:r>
          </w:p>
        </w:tc>
        <w:tc>
          <w:tcPr/>
          <w:p>
            <w:pPr>
              <w:pStyle w:val="Compact"/>
              <w:jc w:val="left"/>
            </w:pPr>
            <w:r>
              <w:t xml:space="preserve">$185/hr</w:t>
            </w:r>
          </w:p>
        </w:tc>
        <w:tc>
          <w:tcPr/>
          <w:p>
            <w:pPr>
              <w:pStyle w:val="Compact"/>
              <w:jc w:val="left"/>
            </w:pPr>
            <w:r>
              <w:t xml:space="preserve">$74,400.00</w:t>
            </w:r>
          </w:p>
        </w:tc>
        <w:tc>
          <w:tcPr/>
          <w:p>
            <w:pPr>
              <w:pStyle w:val="Compact"/>
              <w:jc w:val="left"/>
            </w:pPr>
            <w:r>
              <w:t xml:space="preserve">40 hrs/week, 26 weeks</w:t>
            </w:r>
          </w:p>
        </w:tc>
      </w:tr>
      <w:tr>
        <w:tc>
          <w:tcPr/>
          <w:p>
            <w:pPr>
              <w:pStyle w:val="Compact"/>
              <w:jc w:val="left"/>
            </w:pPr>
            <w:r>
              <w:t xml:space="preserve">2</w:t>
            </w:r>
          </w:p>
        </w:tc>
        <w:tc>
          <w:tcPr/>
          <w:p>
            <w:pPr>
              <w:pStyle w:val="Compact"/>
              <w:jc w:val="left"/>
            </w:pPr>
            <w:r>
              <w:t xml:space="preserve">Mathematician – Stochastic Analysis &amp; Risk Assessment Module</w:t>
            </w:r>
          </w:p>
        </w:tc>
        <w:tc>
          <w:tcPr/>
          <w:p>
            <w:pPr>
              <w:pStyle w:val="Compact"/>
              <w:jc w:val="left"/>
            </w:pPr>
            <w:r>
              <w:t xml:space="preserve">3 months</w:t>
            </w:r>
          </w:p>
        </w:tc>
        <w:tc>
          <w:tcPr/>
          <w:p>
            <w:pPr>
              <w:pStyle w:val="Compact"/>
              <w:jc w:val="left"/>
            </w:pPr>
            <w:r>
              <w:t xml:space="preserve">$165/hr</w:t>
            </w:r>
          </w:p>
        </w:tc>
        <w:tc>
          <w:tcPr/>
          <w:p>
            <w:pPr>
              <w:pStyle w:val="Compact"/>
              <w:jc w:val="left"/>
            </w:pPr>
            <w:r>
              <w:t xml:space="preserve">$33,000.00</w:t>
            </w:r>
          </w:p>
        </w:tc>
        <w:tc>
          <w:tcPr/>
          <w:p>
            <w:pPr>
              <w:pStyle w:val="Compact"/>
              <w:jc w:val="left"/>
            </w:pPr>
            <w:r>
              <w:t xml:space="preserve">Part-time, 20 hrs/week</w:t>
            </w:r>
          </w:p>
        </w:tc>
      </w:tr>
      <w:tr>
        <w:tc>
          <w:tcPr/>
          <w:p>
            <w:pPr>
              <w:pStyle w:val="Compact"/>
              <w:jc w:val="left"/>
            </w:pPr>
            <w:r>
              <w:t xml:space="preserve">3</w:t>
            </w:r>
          </w:p>
        </w:tc>
        <w:tc>
          <w:tcPr/>
          <w:p>
            <w:pPr>
              <w:pStyle w:val="Compact"/>
              <w:jc w:val="left"/>
            </w:pPr>
            <w:r>
              <w:t xml:space="preserve">Mathematician – Computational Simulation &amp; Numerical Methods Development</w:t>
            </w:r>
          </w:p>
        </w:tc>
        <w:tc>
          <w:tcPr/>
          <w:p>
            <w:pPr>
              <w:pStyle w:val="Compact"/>
              <w:jc w:val="left"/>
            </w:pPr>
            <w:r>
              <w:t xml:space="preserve">4 months</w:t>
            </w:r>
          </w:p>
        </w:tc>
        <w:tc>
          <w:tcPr/>
          <w:p>
            <w:pPr>
              <w:pStyle w:val="Compact"/>
              <w:jc w:val="left"/>
            </w:pPr>
            <w:r>
              <w:t xml:space="preserve">$175/hr</w:t>
            </w:r>
          </w:p>
        </w:tc>
        <w:tc>
          <w:tcPr/>
          <w:p>
            <w:pPr>
              <w:pStyle w:val="Compact"/>
              <w:jc w:val="left"/>
            </w:pPr>
            <w:r>
              <w:t xml:space="preserve">$56,000.00</w:t>
            </w:r>
          </w:p>
        </w:tc>
        <w:tc>
          <w:tcPr/>
          <w:p>
            <w:pPr>
              <w:pStyle w:val="Compact"/>
              <w:jc w:val="left"/>
            </w:pPr>
            <w:r>
              <w:t xml:space="preserve">Remote + bi-weekly Miami site visits</w:t>
            </w:r>
          </w:p>
        </w:tc>
      </w:tr>
      <w:tr>
        <w:tc>
          <w:tcPr/>
          <w:p>
            <w:pPr>
              <w:pStyle w:val="Compact"/>
              <w:jc w:val="left"/>
            </w:pPr>
            <w:r>
              <w:t xml:space="preserve">4</w:t>
            </w:r>
          </w:p>
        </w:tc>
        <w:tc>
          <w:tcPr/>
          <w:p>
            <w:pPr>
              <w:pStyle w:val="Compact"/>
              <w:jc w:val="left"/>
            </w:pPr>
            <w:r>
              <w:t xml:space="preserve">Mathematician – Technical Documentation, Peer Review &amp; Final Reporting</w:t>
            </w:r>
          </w:p>
        </w:tc>
        <w:tc>
          <w:tcPr/>
          <w:p>
            <w:pPr>
              <w:pStyle w:val="Compact"/>
              <w:jc w:val="left"/>
            </w:pPr>
            <w:r>
              <w:t xml:space="preserve">2 months</w:t>
            </w:r>
          </w:p>
        </w:tc>
        <w:tc>
          <w:tcPr/>
          <w:p>
            <w:pPr>
              <w:pStyle w:val="Compact"/>
              <w:jc w:val="left"/>
            </w:pPr>
            <w:r>
              <w:t xml:space="preserve">$150/hr</w:t>
            </w:r>
          </w:p>
        </w:tc>
        <w:tc>
          <w:tcPr/>
          <w:p>
            <w:pPr>
              <w:pStyle w:val="Compact"/>
              <w:jc w:val="left"/>
            </w:pPr>
            <w:r>
              <w:t xml:space="preserve">$24,000.00</w:t>
            </w:r>
          </w:p>
        </w:tc>
        <w:tc>
          <w:tcPr/>
          <w:p>
            <w:pPr>
              <w:pStyle w:val="Compact"/>
              <w:jc w:val="left"/>
            </w:pPr>
            <w:r>
              <w:t xml:space="preserve">Deliverables in English, US standards</w:t>
            </w:r>
          </w:p>
        </w:tc>
      </w:tr>
      <w:tr>
        <w:tc>
          <w:tcPr/>
          <w:p>
            <w:pPr>
              <w:pStyle w:val="Compact"/>
              <w:jc w:val="left"/>
            </w:pPr>
            <w:r>
              <w:t xml:space="preserve">5</w:t>
            </w:r>
          </w:p>
        </w:tc>
        <w:tc>
          <w:tcPr/>
          <w:p>
            <w:pPr>
              <w:pStyle w:val="Compact"/>
              <w:jc w:val="left"/>
            </w:pPr>
            <w:r>
              <w:t xml:space="preserve">Project Management &amp; Coordination (Miami, United States office overhead)</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$12,500.00</w:t>
            </w:r>
          </w:p>
        </w:tc>
        <w:tc>
          <w:tcPr/>
          <w:p>
            <w:pPr>
              <w:pStyle w:val="Compact"/>
              <w:jc w:val="left"/>
            </w:pPr>
            <w:r>
              <w:t xml:space="preserve">Includes scheduling, QA, compliance</w:t>
            </w:r>
          </w:p>
        </w:tc>
      </w:tr>
      <w:tr>
        <w:tc>
          <w:tcPr/>
          <w:p>
            <w:pPr>
              <w:pStyle w:val="Compact"/>
              <w:jc w:val="left"/>
            </w:pPr>
            <w:r>
              <w:t xml:space="preserve">6</w:t>
            </w:r>
          </w:p>
        </w:tc>
        <w:tc>
          <w:tcPr/>
          <w:p>
            <w:pPr>
              <w:pStyle w:val="Compact"/>
              <w:jc w:val="left"/>
            </w:pPr>
            <w:r>
              <w:t xml:space="preserve">Software Licensing &amp; Computational Infrastructure (MATLAB, Python, R, HPC access)</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$8,200.00</w:t>
            </w:r>
          </w:p>
        </w:tc>
        <w:tc>
          <w:tcPr/>
          <w:p>
            <w:pPr>
              <w:pStyle w:val="Compact"/>
              <w:jc w:val="left"/>
            </w:pPr>
            <w:r>
              <w:t xml:space="preserve">Enterprise licenses, cloud compute</w:t>
            </w:r>
          </w:p>
        </w:tc>
      </w:tr>
      <w:tr>
        <w:tc>
          <w:tcPr/>
          <w:p>
            <w:pPr>
              <w:pStyle w:val="Compact"/>
              <w:jc w:val="left"/>
            </w:pPr>
            <w:r>
              <w:t xml:space="preserve">7</w:t>
            </w:r>
          </w:p>
        </w:tc>
        <w:tc>
          <w:tcPr/>
          <w:p>
            <w:pPr>
              <w:pStyle w:val="Compact"/>
              <w:jc w:val="left"/>
            </w:pPr>
            <w:r>
              <w:t xml:space="preserve">Travel &amp; Relocation Allowance (within Miami-Dade County, United States)</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$3,400.00</w:t>
            </w:r>
          </w:p>
        </w:tc>
        <w:tc>
          <w:tcPr/>
          <w:p>
            <w:pPr>
              <w:pStyle w:val="Compact"/>
              <w:jc w:val="left"/>
            </w:pPr>
            <w:r>
              <w:t xml:space="preserve">Local transit, parking, per diem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$211,500.00</w:t>
            </w:r>
          </w:p>
        </w:tc>
      </w:tr>
      <w:tr>
        <w:tc>
          <w:tcPr/>
          <w:p>
            <w:pPr>
              <w:pStyle w:val="Compact"/>
              <w:jc w:val="left"/>
            </w:pPr>
            <w:r>
              <w:t xml:space="preserve">Florida State Sales Tax (6.5%)</w:t>
            </w:r>
          </w:p>
        </w:tc>
        <w:tc>
          <w:tcPr/>
          <w:p>
            <w:pPr>
              <w:pStyle w:val="Compact"/>
              <w:jc w:val="right"/>
            </w:pPr>
            <w:r>
              <w:t xml:space="preserve">$13,747.50</w:t>
            </w:r>
          </w:p>
        </w:tc>
      </w:tr>
      <w:tr>
        <w:tc>
          <w:tcPr/>
          <w:p>
            <w:pPr>
              <w:pStyle w:val="Compact"/>
              <w:jc w:val="left"/>
            </w:pPr>
            <w:r>
              <w:t xml:space="preserve">Miami-Dade County Surcharge (1.0%)</w:t>
            </w:r>
          </w:p>
        </w:tc>
        <w:tc>
          <w:tcPr/>
          <w:p>
            <w:pPr>
              <w:pStyle w:val="Compact"/>
              <w:jc w:val="right"/>
            </w:pPr>
            <w:r>
              <w:t xml:space="preserve">$2,115.00</w:t>
            </w:r>
          </w:p>
        </w:tc>
      </w:tr>
      <w:tr>
        <w:tc>
          <w:tcPr/>
          <w:p>
            <w:pPr>
              <w:pStyle w:val="Compact"/>
              <w:jc w:val="left"/>
            </w:pPr>
            <w:r>
              <w:t xml:space="preserve">Grand Total (USD)</w:t>
            </w:r>
          </w:p>
        </w:tc>
        <w:tc>
          <w:tcPr/>
          <w:p>
            <w:pPr>
              <w:pStyle w:val="Compact"/>
              <w:jc w:val="right"/>
            </w:pPr>
            <w:r>
              <w:t xml:space="preserve">$227,362.50</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calendar days from the date of issuance. After the expiration date, all rates and fees are subject to revision based on current market conditions in the Miami, United States professional services sector.</w:t>
      </w:r>
    </w:p>
    <w:p>
      <w:pPr>
        <w:pStyle w:val="BodyText"/>
      </w:pPr>
      <w:r>
        <w:rPr>
          <w:bCs/>
          <w:b/>
        </w:rPr>
        <w:t xml:space="preserve">2. Payment Schedule:</w:t>
      </w:r>
      <w:r>
        <w:t xml:space="preserve"> </w:t>
      </w:r>
      <w:r>
        <w:t xml:space="preserve">Payment shall be made in three (3) equal installments: 40% upon contract execution, 35% upon completion of the third month of the Mathematician engagement, and 25% upon final delivery and acceptance of all deliverables. All payments are due within fifteen (15) business days of invoice receipt via ACH transfer to our United States banking account.</w:t>
      </w:r>
    </w:p>
    <w:p>
      <w:pPr>
        <w:pStyle w:val="BodyText"/>
      </w:pPr>
      <w:r>
        <w:rPr>
          <w:bCs/>
          <w:b/>
        </w:rPr>
        <w:t xml:space="preserve">3. Scope Changes:</w:t>
      </w:r>
      <w:r>
        <w:t xml:space="preserve"> </w:t>
      </w:r>
      <w:r>
        <w:t xml:space="preserve">Any modification to the scope of work beyond what is outlined in this Quotation Estimate shall require a written change order signed by both parties. Additional Mathematician hours beyond the contracted duration will be billed at the applicable hourly rate plus a 15% expedited-service surcharge.</w:t>
      </w:r>
    </w:p>
    <w:p>
      <w:pPr>
        <w:pStyle w:val="BodyText"/>
      </w:pPr>
      <w:r>
        <w:rPr>
          <w:bCs/>
          <w:b/>
        </w:rPr>
        <w:t xml:space="preserve">4. Confidentiality &amp; IP:</w:t>
      </w:r>
      <w:r>
        <w:t xml:space="preserve"> </w:t>
      </w:r>
      <w:r>
        <w:t xml:space="preserve">All proprietary data, models, and intellectual property developed by the Mathematician during the course of this engagement shall remain the exclusive property of the client, in accordance with United States federal and Florida state intellectual property law. The Mathematician and Quantum Analytics &amp; Advisory Group shall execute a Non-Disclosure Agreement (NDA) prior to commencing work.</w:t>
      </w:r>
    </w:p>
    <w:p>
      <w:pPr>
        <w:pStyle w:val="BodyText"/>
      </w:pPr>
      <w:r>
        <w:rPr>
          <w:bCs/>
          <w:b/>
        </w:rPr>
        <w:t xml:space="preserve">5. Termination:</w:t>
      </w:r>
      <w:r>
        <w:t xml:space="preserve"> </w:t>
      </w:r>
      <w:r>
        <w:t xml:space="preserve">Either party may terminate this engagement with thirty (30) days written notice. In the event of early termination, the client shall be liable for all services rendered up to the termination date plus a 10% administrative fee.</w:t>
      </w:r>
    </w:p>
    <w:p>
      <w:pPr>
        <w:pStyle w:val="BodyText"/>
      </w:pPr>
      <w:r>
        <w:rPr>
          <w:bCs/>
          <w:b/>
        </w:rPr>
        <w:t xml:space="preserve">6. Governing Law:</w:t>
      </w:r>
      <w:r>
        <w:t xml:space="preserve"> </w:t>
      </w:r>
      <w:r>
        <w:t xml:space="preserve">This Quotation Estimate and any resulting contract shall be governed by and construed in accordance with the laws of the State of Florida, United States, and applicable federal statutes. Any disputes shall be resolved through binding arbitration in Miami-Dade County, Florida.</w:t>
      </w:r>
    </w:p>
    <w:p>
      <w:pPr>
        <w:pStyle w:val="BodyText"/>
      </w:pPr>
      <w:r>
        <w:rPr>
          <w:bCs/>
          <w:b/>
        </w:rPr>
        <w:t xml:space="preserve">7. Compliance:</w:t>
      </w:r>
      <w:r>
        <w:t xml:space="preserve"> </w:t>
      </w:r>
      <w:r>
        <w:t xml:space="preserve">All services rendered by the Mathematician shall comply with United States federal regulations, including but not limited to the Americans with Disabilities Act (ADA), the Fair Labor Standards Act (FLSA), and applicable data-privacy statutes (including Florida's Information Protection Act).</w:t>
      </w:r>
    </w:p>
    <w:p>
      <w:pPr>
        <w:pStyle w:val="BodyText"/>
      </w:pPr>
      <w:r>
        <w:t xml:space="preserve">Acceptance and Authorization</w:t>
      </w:r>
    </w:p>
    <w:p>
      <w:pPr>
        <w:pStyle w:val="BodyText"/>
      </w:pPr>
      <w:r>
        <w:t xml:space="preserve">By signing below, the client acknowledges receipt of this Quotation Estimate and authorizes Quantum Analytics &amp; Advisory Group to proceed with the engagement of the specified Mathematician under the terms, rates, and conditions outlined in this document. This signature constitutes a binding agreement for the services described herein, effective in the jurisdiction of Miami, United States.</w:t>
      </w:r>
    </w:p>
    <w:p>
      <w:pPr>
        <w:pStyle w:val="BodyText"/>
      </w:pPr>
      <w:r>
        <w:rPr>
          <w:bCs/>
          <w:b/>
        </w:rPr>
        <w:t xml:space="preserve">For Quantum Analytics &amp; Advisory Group</w:t>
      </w:r>
    </w:p>
    <w:p>
      <w:pPr>
        <w:pStyle w:val="BodyText"/>
      </w:pPr>
      <w:r>
        <w:t xml:space="preserve">Dr. Elena Vasquez, Director of Client Services</w:t>
      </w:r>
    </w:p>
    <w:p>
      <w:pPr>
        <w:pStyle w:val="BodyText"/>
      </w:pPr>
      <w:r>
        <w:t xml:space="preserve">Signature &amp; Date</w:t>
      </w:r>
    </w:p>
    <w:p>
      <w:pPr>
        <w:pStyle w:val="BodyText"/>
      </w:pPr>
      <w:r>
        <w:rPr>
          <w:bCs/>
          <w:b/>
        </w:rPr>
        <w:t xml:space="preserve">For the Client</w:t>
      </w:r>
    </w:p>
    <w:p>
      <w:pPr>
        <w:pStyle w:val="BodyText"/>
      </w:pPr>
      <w:r>
        <w:t xml:space="preserve">[Authorized Representative Name &amp; Title]</w:t>
      </w:r>
    </w:p>
    <w:p>
      <w:pPr>
        <w:pStyle w:val="BodyText"/>
      </w:pPr>
      <w:r>
        <w:t xml:space="preserve">Signature &amp; Date</w:t>
      </w:r>
    </w:p>
    <w:p>
      <w:pPr>
        <w:pStyle w:val="BodyText"/>
      </w:pPr>
      <w:r>
        <w:t xml:space="preserve">Quotation Estimate No. QAE-2025-0417-MIA | Quantum Analytics &amp; Advisory Group | Miami, Florida, United States</w:t>
      </w:r>
    </w:p>
    <w:p>
      <w:pPr>
        <w:pStyle w:val="BodyText"/>
      </w:pPr>
      <w:r>
        <w:t xml:space="preserve">This document is the property of Quantum Analytics &amp; Advisory Group. Unauthorized reproduction or distribution is prohibited under United States copyright law.</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Miami, United States</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