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apex-analytical-consulting-group"/>
    <w:p>
      <w:pPr>
        <w:pStyle w:val="Heading1"/>
      </w:pPr>
      <w:r>
        <w:t xml:space="preserve">Apex Analytical Consulting Group</w:t>
      </w:r>
    </w:p>
    <w:p>
      <w:pPr>
        <w:pStyle w:val="FirstParagraph"/>
      </w:pPr>
      <w:r>
        <w:t xml:space="preserve">Professional Mathematician &amp; Quantitative Services</w:t>
      </w:r>
    </w:p>
    <w:p>
      <w:pPr>
        <w:pStyle w:val="BodyText"/>
      </w:pPr>
      <w:r>
        <w:t xml:space="preserve">1285 Avenue of the Americas, Suite 4200, New York City, NY 10020, United States</w:t>
      </w:r>
    </w:p>
    <w:p>
      <w:pPr>
        <w:pStyle w:val="BodyText"/>
      </w:pPr>
      <w:r>
        <w:t xml:space="preserve">Tel: (212) 555-0147 | Email: estimates@apexanalytical.com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QEST-2025-NYC-04871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Meridian Financial Technologies, Inc. — 200 Park Avenue, New York City, NY 10166, United States</w:t>
            </w:r>
          </w:p>
        </w:tc>
      </w:tr>
      <w:tr>
        <w:tc>
          <w:tcPr/>
          <w:p>
            <w:pPr>
              <w:pStyle w:val="Compact"/>
              <w:jc w:val="left"/>
            </w:pPr>
            <w:r>
              <w:t xml:space="preserve">Prepared By:</w:t>
            </w:r>
          </w:p>
        </w:tc>
        <w:tc>
          <w:tcPr/>
          <w:p>
            <w:pPr>
              <w:pStyle w:val="Compact"/>
              <w:jc w:val="left"/>
            </w:pPr>
            <w:r>
              <w:t xml:space="preserve">Dr. Eleanor V. Hartwell, Ph.D. in Applied Mathematics, Licensed Mathematician (NY State)</w:t>
            </w:r>
          </w:p>
        </w:tc>
      </w:tr>
      <w:tr>
        <w:tc>
          <w:tcPr/>
          <w:p>
            <w:pPr>
              <w:pStyle w:val="Compact"/>
              <w:jc w:val="left"/>
            </w:pPr>
            <w:r>
              <w:t xml:space="preserve">Service Location:</w:t>
            </w:r>
          </w:p>
        </w:tc>
        <w:tc>
          <w:tcPr/>
          <w:p>
            <w:pPr>
              <w:pStyle w:val="Compact"/>
              <w:jc w:val="left"/>
            </w:pPr>
            <w:r>
              <w:t xml:space="preserve">United States New York City — Manhattan, New York</w:t>
            </w:r>
          </w:p>
        </w:tc>
      </w:tr>
      <w:tr>
        <w:tc>
          <w:tcPr/>
          <w:p>
            <w:pPr>
              <w:pStyle w:val="Compact"/>
              <w:jc w:val="left"/>
            </w:pPr>
            <w:r>
              <w:t xml:space="preserve">Project Reference:</w:t>
            </w:r>
          </w:p>
        </w:tc>
        <w:tc>
          <w:tcPr/>
          <w:p>
            <w:pPr>
              <w:pStyle w:val="Compact"/>
              <w:jc w:val="left"/>
            </w:pPr>
            <w:r>
              <w:t xml:space="preserve">Stochastic Modeling &amp; Risk Quantification for Derivatives Portfolio</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Apex Analytical Consulting Group to provide Meridian Financial Technologies, Inc. with a comprehensive, itemized cost projection for the engagement of a senior</w:t>
      </w:r>
      <w:r>
        <w:t xml:space="preserve"> </w:t>
      </w:r>
      <w:r>
        <w:t xml:space="preserve">Mathematician</w:t>
      </w:r>
      <w:r>
        <w:t xml:space="preserve"> </w:t>
      </w:r>
      <w:r>
        <w:t xml:space="preserve">to perform advanced quantitative analysis, stochastic modeling, and risk quantification services. All services described herein will be rendered in the</w:t>
      </w:r>
      <w:r>
        <w:t xml:space="preserve"> </w:t>
      </w:r>
      <w:r>
        <w:t xml:space="preserve">United States New York City</w:t>
      </w:r>
      <w:r>
        <w:t xml:space="preserve">, specifically at the client's offices in Midtown Manhattan or at the consultant's designated workspace in the same metropolitan area, as mutually agreed upon in writing prior to commencement of work.</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 Quotation Estimate will deliver the following professional services:</w:t>
      </w:r>
    </w:p>
    <w:p>
      <w:pPr>
        <w:numPr>
          <w:ilvl w:val="0"/>
          <w:numId w:val="1001"/>
        </w:numPr>
        <w:pStyle w:val="Compact"/>
      </w:pPr>
      <w:r>
        <w:rPr>
          <w:bCs/>
          <w:b/>
        </w:rPr>
        <w:t xml:space="preserve">Stochastic Differential Equation Modeling:</w:t>
      </w:r>
      <w:r>
        <w:t xml:space="preserve"> </w:t>
      </w:r>
      <w:r>
        <w:t xml:space="preserve">Development and calibration of multi-factor stochastic models (including Heston, SABR, and local-volatility frameworks) for pricing and risk assessment of the client's derivatives portfolio exceeding 12,000 active positions.</w:t>
      </w:r>
    </w:p>
    <w:p>
      <w:pPr>
        <w:numPr>
          <w:ilvl w:val="0"/>
          <w:numId w:val="1001"/>
        </w:numPr>
        <w:pStyle w:val="Compact"/>
      </w:pPr>
      <w:r>
        <w:rPr>
          <w:bCs/>
          <w:b/>
        </w:rPr>
        <w:t xml:space="preserve">Monte Carlo Simulation Architecture:</w:t>
      </w:r>
      <w:r>
        <w:t xml:space="preserve"> </w:t>
      </w:r>
      <w:r>
        <w:t xml:space="preserve">Design and implementation of high-performance Monte Carlo simulation engines utilizing quasi-random number generators, variance reduction techniques, and parallel computing on GPU clusters located in the United States New York City data center.</w:t>
      </w:r>
    </w:p>
    <w:p>
      <w:pPr>
        <w:numPr>
          <w:ilvl w:val="0"/>
          <w:numId w:val="1001"/>
        </w:numPr>
        <w:pStyle w:val="Compact"/>
      </w:pPr>
      <w:r>
        <w:rPr>
          <w:bCs/>
          <w:b/>
        </w:rPr>
        <w:t xml:space="preserve">Optimal Stopping &amp; Free Boundary Analysis:</w:t>
      </w:r>
      <w:r>
        <w:t xml:space="preserve"> </w:t>
      </w:r>
      <w:r>
        <w:t xml:space="preserve">Mathematical formulation and numerical solution of free boundary problems arising in American-style option valuation and optimal exercise strategies.</w:t>
      </w:r>
    </w:p>
    <w:p>
      <w:pPr>
        <w:numPr>
          <w:ilvl w:val="0"/>
          <w:numId w:val="1001"/>
        </w:numPr>
        <w:pStyle w:val="Compact"/>
      </w:pPr>
      <w:r>
        <w:rPr>
          <w:bCs/>
          <w:b/>
        </w:rPr>
        <w:t xml:space="preserve">Regulatory Compliance Modeling:</w:t>
      </w:r>
      <w:r>
        <w:t xml:space="preserve"> </w:t>
      </w:r>
      <w:r>
        <w:t xml:space="preserve">Construction of mathematical frameworks aligned with the Federal Reserve's Stress Testing (CCAR/DFAST) requirements and the SEC's quantitative disclosure standards applicable to entities operating in the United States New York City financial district.</w:t>
      </w:r>
    </w:p>
    <w:p>
      <w:pPr>
        <w:numPr>
          <w:ilvl w:val="0"/>
          <w:numId w:val="1001"/>
        </w:numPr>
        <w:pStyle w:val="Compact"/>
      </w:pPr>
      <w:r>
        <w:rPr>
          <w:bCs/>
          <w:b/>
        </w:rPr>
        <w:t xml:space="preserve">Peer Review &amp; Technical Documentation:</w:t>
      </w:r>
      <w:r>
        <w:t xml:space="preserve"> </w:t>
      </w:r>
      <w:r>
        <w:t xml:space="preserve">Preparation of a 40-page technical white paper documenting all mathematical derivations, assumptions, numerical methods, and validation results, suitable for internal audit and regulatory submission.</w:t>
      </w:r>
    </w:p>
    <w:p>
      <w:pPr>
        <w:numPr>
          <w:ilvl w:val="0"/>
          <w:numId w:val="1001"/>
        </w:numPr>
        <w:pStyle w:val="Compact"/>
      </w:pPr>
      <w:r>
        <w:rPr>
          <w:bCs/>
          <w:b/>
        </w:rPr>
        <w:t xml:space="preserve">On-Site Consultation:</w:t>
      </w:r>
      <w:r>
        <w:t xml:space="preserve"> </w:t>
      </w:r>
      <w:r>
        <w:t xml:space="preserve">A minimum of 16 hours of in-person consultation at the client's New York City office, including presentation of findings to the Chief Risk Officer and executive committee.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Mathematician — Senior Consultant (Ph.D. level) — Stochastic Modeling &amp; Calibration</w:t>
            </w:r>
          </w:p>
        </w:tc>
        <w:tc>
          <w:tcPr/>
          <w:p>
            <w:pPr>
              <w:pStyle w:val="Compact"/>
              <w:jc w:val="left"/>
            </w:pPr>
            <w:r>
              <w:t xml:space="preserve">120 hrs</w:t>
            </w:r>
          </w:p>
        </w:tc>
        <w:tc>
          <w:tcPr/>
          <w:p>
            <w:pPr>
              <w:pStyle w:val="Compact"/>
              <w:jc w:val="left"/>
            </w:pPr>
            <w:r>
              <w:t xml:space="preserve">$385.00/hr</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Mathematician — Senior Consultant — Monte Carlo Engine Development &amp; Validation</w:t>
            </w:r>
          </w:p>
        </w:tc>
        <w:tc>
          <w:tcPr/>
          <w:p>
            <w:pPr>
              <w:pStyle w:val="Compact"/>
              <w:jc w:val="left"/>
            </w:pPr>
            <w:r>
              <w:t xml:space="preserve">80 hrs</w:t>
            </w:r>
          </w:p>
        </w:tc>
        <w:tc>
          <w:tcPr/>
          <w:p>
            <w:pPr>
              <w:pStyle w:val="Compact"/>
              <w:jc w:val="left"/>
            </w:pPr>
            <w:r>
              <w:t xml:space="preserve">$385.00/hr</w:t>
            </w:r>
          </w:p>
        </w:tc>
        <w:tc>
          <w:tcPr/>
          <w:p>
            <w:pPr>
              <w:pStyle w:val="Compact"/>
              <w:jc w:val="left"/>
            </w:pPr>
            <w:r>
              <w:t xml:space="preserve">$30,800.00</w:t>
            </w:r>
          </w:p>
        </w:tc>
      </w:tr>
      <w:tr>
        <w:tc>
          <w:tcPr/>
          <w:p>
            <w:pPr>
              <w:pStyle w:val="Compact"/>
              <w:jc w:val="left"/>
            </w:pPr>
            <w:r>
              <w:t xml:space="preserve">03</w:t>
            </w:r>
          </w:p>
        </w:tc>
        <w:tc>
          <w:tcPr/>
          <w:p>
            <w:pPr>
              <w:pStyle w:val="Compact"/>
              <w:jc w:val="left"/>
            </w:pPr>
            <w:r>
              <w:t xml:space="preserve">Mathematician — Senior Consultant — Free Boundary &amp; Optimal Stopping Analysis</w:t>
            </w:r>
          </w:p>
        </w:tc>
        <w:tc>
          <w:tcPr/>
          <w:p>
            <w:pPr>
              <w:pStyle w:val="Compact"/>
              <w:jc w:val="left"/>
            </w:pPr>
            <w:r>
              <w:t xml:space="preserve">60 hrs</w:t>
            </w:r>
          </w:p>
        </w:tc>
        <w:tc>
          <w:tcPr/>
          <w:p>
            <w:pPr>
              <w:pStyle w:val="Compact"/>
              <w:jc w:val="left"/>
            </w:pPr>
            <w:r>
              <w:t xml:space="preserve">$385.00/hr</w:t>
            </w:r>
          </w:p>
        </w:tc>
        <w:tc>
          <w:tcPr/>
          <w:p>
            <w:pPr>
              <w:pStyle w:val="Compact"/>
              <w:jc w:val="left"/>
            </w:pPr>
            <w:r>
              <w:t xml:space="preserve">$23,100.00</w:t>
            </w:r>
          </w:p>
        </w:tc>
      </w:tr>
      <w:tr>
        <w:tc>
          <w:tcPr/>
          <w:p>
            <w:pPr>
              <w:pStyle w:val="Compact"/>
              <w:jc w:val="left"/>
            </w:pPr>
            <w:r>
              <w:t xml:space="preserve">04</w:t>
            </w:r>
          </w:p>
        </w:tc>
        <w:tc>
          <w:tcPr/>
          <w:p>
            <w:pPr>
              <w:pStyle w:val="Compact"/>
              <w:jc w:val="left"/>
            </w:pPr>
            <w:r>
              <w:t xml:space="preserve">Mathematician — Senior Consultant — Regulatory Compliance Framework (CCAR/DFAST)</w:t>
            </w:r>
          </w:p>
        </w:tc>
        <w:tc>
          <w:tcPr/>
          <w:p>
            <w:pPr>
              <w:pStyle w:val="Compact"/>
              <w:jc w:val="left"/>
            </w:pPr>
            <w:r>
              <w:t xml:space="preserve">40 hrs</w:t>
            </w:r>
          </w:p>
        </w:tc>
        <w:tc>
          <w:tcPr/>
          <w:p>
            <w:pPr>
              <w:pStyle w:val="Compact"/>
              <w:jc w:val="left"/>
            </w:pPr>
            <w:r>
              <w:t xml:space="preserve">$385.00/hr</w:t>
            </w:r>
          </w:p>
        </w:tc>
        <w:tc>
          <w:tcPr/>
          <w:p>
            <w:pPr>
              <w:pStyle w:val="Compact"/>
              <w:jc w:val="left"/>
            </w:pPr>
            <w:r>
              <w:t xml:space="preserve">$15,400.00</w:t>
            </w:r>
          </w:p>
        </w:tc>
      </w:tr>
      <w:tr>
        <w:tc>
          <w:tcPr/>
          <w:p>
            <w:pPr>
              <w:pStyle w:val="Compact"/>
              <w:jc w:val="left"/>
            </w:pPr>
            <w:r>
              <w:t xml:space="preserve">05</w:t>
            </w:r>
          </w:p>
        </w:tc>
        <w:tc>
          <w:tcPr/>
          <w:p>
            <w:pPr>
              <w:pStyle w:val="Compact"/>
              <w:jc w:val="left"/>
            </w:pPr>
            <w:r>
              <w:t xml:space="preserve">Technical White Paper Authoring &amp; Peer Review (Mathematician-led)</w:t>
            </w:r>
          </w:p>
        </w:tc>
        <w:tc>
          <w:tcPr/>
          <w:p>
            <w:pPr>
              <w:pStyle w:val="Compact"/>
              <w:jc w:val="left"/>
            </w:pPr>
            <w:r>
              <w:t xml:space="preserve">1 unit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On-Site Consultation &amp; Executive Presentation — United States New York City</w:t>
            </w:r>
          </w:p>
        </w:tc>
        <w:tc>
          <w:tcPr/>
          <w:p>
            <w:pPr>
              <w:pStyle w:val="Compact"/>
              <w:jc w:val="left"/>
            </w:pPr>
            <w:r>
              <w:t xml:space="preserve">16 hrs</w:t>
            </w:r>
          </w:p>
        </w:tc>
        <w:tc>
          <w:tcPr/>
          <w:p>
            <w:pPr>
              <w:pStyle w:val="Compact"/>
              <w:jc w:val="left"/>
            </w:pPr>
            <w:r>
              <w:t xml:space="preserve">$425.00/hr</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Travel &amp; Local Transportation within New York City (Mileage &amp; Tolls)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Software Licensing (MATLAB, Python Scientific Stack, GPU Compute Credits)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$4,750.00</w:t>
            </w:r>
          </w:p>
        </w:tc>
      </w:tr>
      <w:tr>
        <w:tc>
          <w:tcPr/>
          <w:p>
            <w:pPr>
              <w:pStyle w:val="Compact"/>
              <w:jc w:val="left"/>
            </w:pPr>
            <w:r>
              <w:t xml:space="preserve">09</w:t>
            </w:r>
          </w:p>
        </w:tc>
        <w:tc>
          <w:tcPr/>
          <w:p>
            <w:pPr>
              <w:pStyle w:val="Compact"/>
              <w:jc w:val="left"/>
            </w:pPr>
            <w:r>
              <w:t xml:space="preserve">Project Management &amp; Administrative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$13,655.00</w:t>
            </w:r>
          </w:p>
        </w:tc>
      </w:tr>
      <w:tr>
        <w:tc>
          <w:tcPr>
            <w:gridSpan w:val="4"/>
          </w:tcPr>
          <w:p>
            <w:pPr>
              <w:pStyle w:val="Compact"/>
              <w:jc w:val="right"/>
            </w:pPr>
            <w:r>
              <w:t xml:space="preserve">Subtotal (Pre-Tax):</w:t>
            </w:r>
          </w:p>
        </w:tc>
        <w:tc>
          <w:tcPr/>
          <w:p>
            <w:pPr>
              <w:pStyle w:val="Compact"/>
              <w:jc w:val="left"/>
            </w:pPr>
            <w:r>
              <w:t xml:space="preserve">$155,405.00</w:t>
            </w:r>
          </w:p>
        </w:tc>
      </w:tr>
      <w:tr>
        <w:tc>
          <w:tcPr>
            <w:gridSpan w:val="4"/>
          </w:tcPr>
          <w:p>
            <w:pPr>
              <w:pStyle w:val="Compact"/>
              <w:jc w:val="right"/>
            </w:pPr>
            <w:r>
              <w:t xml:space="preserve">New York State Sales Tax (8.875%):</w:t>
            </w:r>
          </w:p>
        </w:tc>
        <w:tc>
          <w:tcPr/>
          <w:p>
            <w:pPr>
              <w:pStyle w:val="Compact"/>
              <w:jc w:val="left"/>
            </w:pPr>
            <w:r>
              <w:t xml:space="preserve">$13,792.20</w:t>
            </w:r>
          </w:p>
        </w:tc>
      </w:tr>
      <w:tr>
        <w:tc>
          <w:tcPr>
            <w:gridSpan w:val="4"/>
          </w:tcPr>
          <w:p>
            <w:pPr>
              <w:pStyle w:val="Compact"/>
              <w:jc w:val="right"/>
            </w:pPr>
            <w:r>
              <w:t xml:space="preserve">New York City Sales Tax (8.875%):</w:t>
            </w:r>
          </w:p>
        </w:tc>
        <w:tc>
          <w:tcPr/>
          <w:p>
            <w:pPr>
              <w:pStyle w:val="Compact"/>
              <w:jc w:val="left"/>
            </w:pPr>
            <w:r>
              <w:t xml:space="preserve">$13,792.20</w:t>
            </w:r>
          </w:p>
        </w:tc>
      </w:tr>
      <w:tr>
        <w:tc>
          <w:tcPr>
            <w:gridSpan w:val="4"/>
          </w:tcPr>
          <w:p>
            <w:pPr>
              <w:pStyle w:val="Compact"/>
              <w:jc w:val="right"/>
            </w:pPr>
            <w:r>
              <w:t xml:space="preserve">TOTAL ESTIMATED COST (USD):</w:t>
            </w:r>
          </w:p>
        </w:tc>
        <w:tc>
          <w:tcPr/>
          <w:p>
            <w:pPr>
              <w:pStyle w:val="Compact"/>
              <w:jc w:val="left"/>
            </w:pPr>
            <w:r>
              <w:t xml:space="preserve">$182,989.40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according to the following milestone-based schedule:</w:t>
      </w:r>
    </w:p>
    <w:p>
      <w:pPr>
        <w:numPr>
          <w:ilvl w:val="0"/>
          <w:numId w:val="1002"/>
        </w:numPr>
        <w:pStyle w:val="Compact"/>
      </w:pPr>
      <w:r>
        <w:rPr>
          <w:bCs/>
          <w:b/>
        </w:rPr>
        <w:t xml:space="preserve">Milestone 1 (25%):</w:t>
      </w:r>
      <w:r>
        <w:t xml:space="preserve"> </w:t>
      </w:r>
      <w:r>
        <w:t xml:space="preserve">$45,747.35 — Due upon execution of the Service Agreement and commencement of work.</w:t>
      </w:r>
    </w:p>
    <w:p>
      <w:pPr>
        <w:numPr>
          <w:ilvl w:val="0"/>
          <w:numId w:val="1002"/>
        </w:numPr>
        <w:pStyle w:val="Compact"/>
      </w:pPr>
      <w:r>
        <w:rPr>
          <w:bCs/>
          <w:b/>
        </w:rPr>
        <w:t xml:space="preserve">Milestone 2 (35%):</w:t>
      </w:r>
      <w:r>
        <w:t xml:space="preserve"> </w:t>
      </w:r>
      <w:r>
        <w:t xml:space="preserve">$64,046.29 — Due upon delivery of the calibrated stochastic model and Monte Carlo engine (Week 6).</w:t>
      </w:r>
    </w:p>
    <w:p>
      <w:pPr>
        <w:numPr>
          <w:ilvl w:val="0"/>
          <w:numId w:val="1002"/>
        </w:numPr>
        <w:pStyle w:val="Compact"/>
      </w:pPr>
      <w:r>
        <w:rPr>
          <w:bCs/>
          <w:b/>
        </w:rPr>
        <w:t xml:space="preserve">Milestone 3 (30%):</w:t>
      </w:r>
      <w:r>
        <w:t xml:space="preserve"> </w:t>
      </w:r>
      <w:r>
        <w:t xml:space="preserve">$54,896.82 — Due upon delivery of the free boundary analysis and regulatory compliance framework (Week 10).</w:t>
      </w:r>
    </w:p>
    <w:p>
      <w:pPr>
        <w:numPr>
          <w:ilvl w:val="0"/>
          <w:numId w:val="1002"/>
        </w:numPr>
        <w:pStyle w:val="Compact"/>
      </w:pPr>
      <w:r>
        <w:rPr>
          <w:bCs/>
          <w:b/>
        </w:rPr>
        <w:t xml:space="preserve">Milestone 4 (10%):</w:t>
      </w:r>
      <w:r>
        <w:t xml:space="preserve"> </w:t>
      </w:r>
      <w:r>
        <w:t xml:space="preserve">$18,299.04 — Due upon final delivery of the technical white paper and completion of the executive presentation in New York City (Week 14).</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expiration date, all rates and totals are subject to revision.</w:t>
      </w:r>
    </w:p>
    <w:p>
      <w:pPr>
        <w:numPr>
          <w:ilvl w:val="0"/>
          <w:numId w:val="1003"/>
        </w:numPr>
        <w:pStyle w:val="Compact"/>
      </w:pPr>
      <w:r>
        <w:t xml:space="preserve">All services will be performed by a licensed and credentialed</w:t>
      </w:r>
      <w:r>
        <w:t xml:space="preserve"> </w:t>
      </w:r>
      <w:r>
        <w:t xml:space="preserve">Mathematician</w:t>
      </w:r>
      <w:r>
        <w:t xml:space="preserve"> </w:t>
      </w:r>
      <w:r>
        <w:t xml:space="preserve">holding a Doctor of Philosophy in Applied Mathematics from a recognized United States institution, with a minimum of fifteen (15) years of professional experience in quantitative finance.</w:t>
      </w:r>
    </w:p>
    <w:p>
      <w:pPr>
        <w:numPr>
          <w:ilvl w:val="0"/>
          <w:numId w:val="1003"/>
        </w:numPr>
        <w:pStyle w:val="Compact"/>
      </w:pPr>
      <w:r>
        <w:t xml:space="preserve">All work product, including mathematical models, code, documentation, and the technical white paper, shall become the sole intellectual property of Meridian Financial Technologies, Inc. upon full payment.</w:t>
      </w:r>
    </w:p>
    <w:p>
      <w:pPr>
        <w:numPr>
          <w:ilvl w:val="0"/>
          <w:numId w:val="1003"/>
        </w:numPr>
        <w:pStyle w:val="Compact"/>
      </w:pPr>
      <w:r>
        <w:t xml:space="preserve">The</w:t>
      </w:r>
      <w:r>
        <w:t xml:space="preserve"> </w:t>
      </w:r>
      <w:r>
        <w:t xml:space="preserve">Mathematician</w:t>
      </w:r>
      <w:r>
        <w:t xml:space="preserve"> </w:t>
      </w:r>
      <w:r>
        <w:t xml:space="preserve">shall comply with all applicable federal, New York State, and New York City laws and regulations, including but not limited to data protection statutes (NY SHIELD Act) and financial industry compliance requirements.</w:t>
      </w:r>
    </w:p>
    <w:p>
      <w:pPr>
        <w:numPr>
          <w:ilvl w:val="0"/>
          <w:numId w:val="1003"/>
        </w:numPr>
        <w:pStyle w:val="Compact"/>
      </w:pPr>
      <w:r>
        <w:t xml:space="preserve">Any change in scope exceeding ten percent (10%) of the original estimated hours will require a written amendment to this Quotation Estimate, signed by both parties, before additional work commences.</w:t>
      </w:r>
    </w:p>
    <w:p>
      <w:pPr>
        <w:numPr>
          <w:ilvl w:val="0"/>
          <w:numId w:val="1003"/>
        </w:numPr>
        <w:pStyle w:val="Compact"/>
      </w:pPr>
      <w:r>
        <w:t xml:space="preserve">Confidentiality: The</w:t>
      </w:r>
      <w:r>
        <w:t xml:space="preserve"> </w:t>
      </w:r>
      <w:r>
        <w:t xml:space="preserve">Mathematician</w:t>
      </w:r>
      <w:r>
        <w:t xml:space="preserve"> </w:t>
      </w:r>
      <w:r>
        <w:t xml:space="preserve">and Apex Analytical Consulting Group agree to maintain strict confidentiality of all client data, portfolio information, and proprietary models in accordance with a separate Non-Disclosure Agreement (NDA) to be executed concurrently with the Service Agreement.</w:t>
      </w:r>
    </w:p>
    <w:p>
      <w:pPr>
        <w:numPr>
          <w:ilvl w:val="0"/>
          <w:numId w:val="1003"/>
        </w:numPr>
        <w:pStyle w:val="Compact"/>
      </w:pPr>
      <w:r>
        <w:t xml:space="preserve">Disputes arising from this Quotation Estimate or the resulting Service Agreement shall be governed by the laws of the State of New York and resolved through binding arbitration in New York City, United States, in accordance with the rules of the American Arbitration Association.</w:t>
      </w:r>
    </w:p>
    <w:p>
      <w:pPr>
        <w:numPr>
          <w:ilvl w:val="0"/>
          <w:numId w:val="1003"/>
        </w:numPr>
        <w:pStyle w:val="Compact"/>
      </w:pPr>
      <w:r>
        <w:t xml:space="preserve">This Quotation Estimate does not constitute a binding contract until a formal Service Agreement is executed by both parties. It serves solely as a good-faith estimate of costs and scope.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estimated costs presented herein for the engagement of the</w:t>
      </w:r>
      <w:r>
        <w:t xml:space="preserve"> </w:t>
      </w:r>
      <w:r>
        <w:t xml:space="preserve">Mathematician</w:t>
      </w:r>
      <w:r>
        <w:t xml:space="preserve"> </w:t>
      </w:r>
      <w:r>
        <w:t xml:space="preserve">in the</w:t>
      </w:r>
      <w:r>
        <w:t xml:space="preserve"> </w:t>
      </w:r>
      <w:r>
        <w:t xml:space="preserve">United States New York City</w:t>
      </w:r>
      <w:r>
        <w:t xml:space="preserve">.</w:t>
      </w:r>
    </w:p>
    <w:p>
      <w:pPr>
        <w:pStyle w:val="BodyText"/>
      </w:pPr>
      <w:r>
        <w:rPr>
          <w:bCs/>
          <w:b/>
        </w:rPr>
        <w:t xml:space="preserve">For Apex Analytical Consulting Group:</w:t>
      </w:r>
    </w:p>
    <w:p>
      <w:pPr>
        <w:pStyle w:val="BodyText"/>
      </w:pPr>
      <w:r>
        <w:t xml:space="preserve">Dr. Eleanor V. Hartwell, Ph.D.</w:t>
      </w:r>
      <w:r>
        <w:br/>
      </w:r>
      <w:r>
        <w:t xml:space="preserve">Senior Mathematician &amp; Principal Consultant</w:t>
      </w:r>
      <w:r>
        <w:br/>
      </w:r>
      <w:r>
        <w:t xml:space="preserve">Date: ______________________</w:t>
      </w:r>
    </w:p>
    <w:p>
      <w:pPr>
        <w:pStyle w:val="BodyText"/>
      </w:pPr>
      <w:r>
        <w:rPr>
          <w:bCs/>
          <w:b/>
        </w:rPr>
        <w:t xml:space="preserve">For Meridian Financial Technologies, Inc.:</w:t>
      </w:r>
    </w:p>
    <w:p>
      <w:pPr>
        <w:pStyle w:val="BodyText"/>
      </w:pPr>
      <w:r>
        <w:br/>
      </w:r>
      <w:r>
        <w:t xml:space="preserve">Authorized Representative</w:t>
      </w:r>
      <w:r>
        <w:br/>
      </w:r>
      <w:r>
        <w:t xml:space="preserve">Date: ______________________</w:t>
      </w:r>
    </w:p>
    <w:p>
      <w:pPr>
        <w:pStyle w:val="BodyText"/>
      </w:pPr>
      <w:r>
        <w:t xml:space="preserve">Apex Analytical Consulting Group | 1285 Avenue of the Americas, Suite 4200, New York City, NY 10020, United States</w:t>
      </w:r>
    </w:p>
    <w:p>
      <w:pPr>
        <w:pStyle w:val="BodyText"/>
      </w:pPr>
      <w:r>
        <w:t xml:space="preserve">Quotation Estimate No. QEST-2025-NYC-04871 | This document is confidential and intended solely for the named recipient.</w:t>
      </w:r>
    </w:p>
    <w:p>
      <w:pPr>
        <w:pStyle w:val="BodyText"/>
      </w:pPr>
      <w:r>
        <w:t xml:space="preserve">© 2025 Apex Analytical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States New York City</dc:title>
  <dc:creator/>
  <dc:language>en</dc:language>
  <cp:keywords/>
  <dcterms:created xsi:type="dcterms:W3CDTF">2026-10-10T08:10:06Z</dcterms:created>
  <dcterms:modified xsi:type="dcterms:W3CDTF">2026-10-10T08:10:06Z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