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quotation-estimate"/>
    <w:p>
      <w:pPr>
        <w:pStyle w:val="Heading1"/>
      </w:pPr>
      <w:r>
        <w:t xml:space="preserve">QUOTATION ESTIMATE</w:t>
      </w:r>
    </w:p>
    <w:p>
      <w:pPr>
        <w:pStyle w:val="FirstParagraph"/>
      </w:pPr>
      <w:r>
        <w:rPr>
          <w:bCs/>
          <w:b/>
        </w:rPr>
        <w:t xml:space="preserve">Apex Analytical Consulting Group</w:t>
      </w:r>
      <w:r>
        <w:br/>
      </w:r>
      <w:r>
        <w:t xml:space="preserve">1200 Market Street, Suite 4500</w:t>
      </w:r>
      <w:r>
        <w:br/>
      </w:r>
      <w:r>
        <w:t xml:space="preserve">San Francisco, CA 94102</w:t>
      </w:r>
      <w:r>
        <w:br/>
      </w:r>
      <w:r>
        <w:t xml:space="preserve">United States</w:t>
      </w:r>
      <w:r>
        <w:br/>
      </w:r>
      <w:r>
        <w:t xml:space="preserve">Phone: (415) 555-0198</w:t>
      </w:r>
      <w:r>
        <w:br/>
      </w:r>
      <w:r>
        <w:t xml:space="preserve">Email: estimates@apexanalytical.com</w:t>
      </w:r>
    </w:p>
    <w:p>
      <w:pPr>
        <w:pStyle w:val="BodyText"/>
      </w:pPr>
      <w:r>
        <w:rPr>
          <w:bCs/>
          <w:b/>
        </w:rPr>
        <w:t xml:space="preserve">Quotation Estimate No.:</w:t>
      </w:r>
      <w:r>
        <w:t xml:space="preserve"> </w:t>
      </w:r>
      <w:r>
        <w:t xml:space="preserve">QTE-2025-SF-0472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r>
        <w:br/>
      </w:r>
      <w:r>
        <w:t xml:space="preserve">CONFIDENTIAL</w:t>
      </w:r>
    </w:p>
    <w:bookmarkStart w:id="20"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Bay Area Technology Solutions, Inc.</w:t>
            </w:r>
          </w:p>
        </w:tc>
      </w:tr>
      <w:tr>
        <w:tc>
          <w:tcPr/>
          <w:p>
            <w:pPr>
              <w:pStyle w:val="Compact"/>
              <w:jc w:val="left"/>
            </w:pPr>
            <w:r>
              <w:t xml:space="preserve">Address</w:t>
            </w:r>
          </w:p>
        </w:tc>
        <w:tc>
          <w:tcPr/>
          <w:p>
            <w:pPr>
              <w:pStyle w:val="Compact"/>
              <w:jc w:val="left"/>
            </w:pPr>
            <w:r>
              <w:t xml:space="preserve">2850 Mission Street, Floor 12, San Francisco, CA 94110, United States</w:t>
            </w:r>
          </w:p>
        </w:tc>
      </w:tr>
      <w:tr>
        <w:tc>
          <w:tcPr/>
          <w:p>
            <w:pPr>
              <w:pStyle w:val="Compact"/>
              <w:jc w:val="left"/>
            </w:pPr>
            <w:r>
              <w:t xml:space="preserve">Primary Contact</w:t>
            </w:r>
          </w:p>
        </w:tc>
        <w:tc>
          <w:tcPr/>
          <w:p>
            <w:pPr>
              <w:pStyle w:val="Compact"/>
              <w:jc w:val="left"/>
            </w:pPr>
            <w:r>
              <w:t xml:space="preserve">Dr. Elena Vasquez, VP of Research &amp; Development</w:t>
            </w:r>
          </w:p>
        </w:tc>
      </w:tr>
      <w:tr>
        <w:tc>
          <w:tcPr/>
          <w:p>
            <w:pPr>
              <w:pStyle w:val="Compact"/>
              <w:jc w:val="left"/>
            </w:pPr>
            <w:r>
              <w:t xml:space="preserve">Project Reference</w:t>
            </w:r>
          </w:p>
        </w:tc>
        <w:tc>
          <w:tcPr/>
          <w:p>
            <w:pPr>
              <w:pStyle w:val="Compact"/>
              <w:jc w:val="left"/>
            </w:pPr>
            <w:r>
              <w:t xml:space="preserve">BATS-RD-2025-0031</w:t>
            </w:r>
          </w:p>
        </w:tc>
      </w:tr>
    </w:tbl>
    <w:bookmarkEnd w:id="20"/>
    <w:bookmarkStart w:id="21" w:name="purpose-of-this-quotation-estimate"/>
    <w:p>
      <w:pPr>
        <w:pStyle w:val="Heading2"/>
      </w:pPr>
      <w:r>
        <w:t xml:space="preserve">2. Purpose of This Quotation Estimate</w:t>
      </w:r>
    </w:p>
    <w:p>
      <w:pPr>
        <w:pStyle w:val="FirstParagraph"/>
      </w:pPr>
      <w:r>
        <w:t xml:space="preserve">This Quotation Estimate document is formally issued by Apex Analytical Consulting Group to provide a comprehensive, itemized cost breakdown for the engagement of a senior Mathematician to support advanced computational modeling, algorithmic design, and quantitative analysis projects. This Quotation Estimate is specifically tailored for operations conducted within the United States San Francisco metropolitan area, where the Mathematician will be physically based and available for on-site collaboration at the client's premises. All pricing, tax calculations, and regulatory compliance references within this Quotation Estimate reflect the current fiscal and labor standards applicable to the United States San Francisco region as of the date of issuance.</w:t>
      </w:r>
    </w:p>
    <w:bookmarkEnd w:id="21"/>
    <w:bookmarkStart w:id="22" w:name="Xaf4d0d602a3272d04692e8eba4ecf3281db41a3"/>
    <w:p>
      <w:pPr>
        <w:pStyle w:val="Heading2"/>
      </w:pPr>
      <w:r>
        <w:t xml:space="preserve">3. Scope of Services – Mathematician Engagement</w:t>
      </w:r>
    </w:p>
    <w:p>
      <w:pPr>
        <w:pStyle w:val="FirstParagraph"/>
      </w:pPr>
      <w:r>
        <w:t xml:space="preserve">The Mathematician engaged under this Quotation Estimate shall possess a minimum of a Ph.D. in Applied Mathematics, Pure Mathematics, or a closely related quantitative discipline, with no fewer than eight (8) years of post-doctoral professional experience. The Mathematician will be responsible for the following deliverables and activities:</w:t>
      </w:r>
    </w:p>
    <w:p>
      <w:pPr>
        <w:numPr>
          <w:ilvl w:val="0"/>
          <w:numId w:val="1001"/>
        </w:numPr>
        <w:pStyle w:val="Compact"/>
      </w:pPr>
      <w:r>
        <w:t xml:space="preserve">Design and implementation of stochastic differential equation models for financial risk assessment.</w:t>
      </w:r>
    </w:p>
    <w:p>
      <w:pPr>
        <w:numPr>
          <w:ilvl w:val="0"/>
          <w:numId w:val="1001"/>
        </w:numPr>
        <w:pStyle w:val="Compact"/>
      </w:pPr>
      <w:r>
        <w:t xml:space="preserve">Development of novel optimization algorithms for large-scale logistics networks operating in the United States San Francisco Bay Area.</w:t>
      </w:r>
    </w:p>
    <w:p>
      <w:pPr>
        <w:numPr>
          <w:ilvl w:val="0"/>
          <w:numId w:val="1001"/>
        </w:numPr>
        <w:pStyle w:val="Compact"/>
      </w:pPr>
      <w:r>
        <w:t xml:space="preserve">Peer review and mathematical validation of existing computational frameworks.</w:t>
      </w:r>
    </w:p>
    <w:p>
      <w:pPr>
        <w:numPr>
          <w:ilvl w:val="0"/>
          <w:numId w:val="1001"/>
        </w:numPr>
        <w:pStyle w:val="Compact"/>
      </w:pPr>
      <w:r>
        <w:t xml:space="preserve">Preparation of technical white papers and journal-ready manuscripts for publication.</w:t>
      </w:r>
    </w:p>
    <w:p>
      <w:pPr>
        <w:numPr>
          <w:ilvl w:val="0"/>
          <w:numId w:val="1001"/>
        </w:numPr>
        <w:pStyle w:val="Compact"/>
      </w:pPr>
      <w:r>
        <w:t xml:space="preserve">Mentorship of junior quantitative analysts and data scientists on the client's internal team.</w:t>
      </w:r>
    </w:p>
    <w:p>
      <w:pPr>
        <w:numPr>
          <w:ilvl w:val="0"/>
          <w:numId w:val="1001"/>
        </w:numPr>
        <w:pStyle w:val="Compact"/>
      </w:pPr>
      <w:r>
        <w:t xml:space="preserve">Participation in weekly strategy meetings held at the client's San Francisco office.</w:t>
      </w:r>
    </w:p>
    <w:bookmarkEnd w:id="22"/>
    <w:bookmarkStart w:id="23"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Mathematician – Professional Services (on-site, United States San Francisco)</w:t>
            </w:r>
          </w:p>
        </w:tc>
        <w:tc>
          <w:tcPr/>
          <w:p>
            <w:pPr>
              <w:pStyle w:val="Compact"/>
              <w:jc w:val="left"/>
            </w:pPr>
            <w:r>
              <w:t xml:space="preserve">120 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Senior Mathematician – Remote Consulting &amp; Asynchronous Support</w:t>
            </w:r>
          </w:p>
        </w:tc>
        <w:tc>
          <w:tcPr/>
          <w:p>
            <w:pPr>
              <w:pStyle w:val="Compact"/>
              <w:jc w:val="left"/>
            </w:pPr>
            <w:r>
              <w:t xml:space="preserve">40 hours</w:t>
            </w:r>
          </w:p>
        </w:tc>
        <w:tc>
          <w:tcPr/>
          <w:p>
            <w:pPr>
              <w:pStyle w:val="Compact"/>
              <w:jc w:val="left"/>
            </w:pPr>
            <w:r>
              <w:t xml:space="preserve">$220.00</w:t>
            </w:r>
          </w:p>
        </w:tc>
        <w:tc>
          <w:tcPr/>
          <w:p>
            <w:pPr>
              <w:pStyle w:val="Compact"/>
              <w:jc w:val="left"/>
            </w:pPr>
            <w:r>
              <w:t xml:space="preserve">$8,800.00</w:t>
            </w:r>
          </w:p>
        </w:tc>
      </w:tr>
      <w:tr>
        <w:tc>
          <w:tcPr/>
          <w:p>
            <w:pPr>
              <w:pStyle w:val="Compact"/>
              <w:jc w:val="left"/>
            </w:pPr>
            <w:r>
              <w:t xml:space="preserve">03</w:t>
            </w:r>
          </w:p>
        </w:tc>
        <w:tc>
          <w:tcPr/>
          <w:p>
            <w:pPr>
              <w:pStyle w:val="Compact"/>
              <w:jc w:val="left"/>
            </w:pPr>
            <w:r>
              <w:t xml:space="preserve">Specialized Software Licensing (MATLAB, Mathematica, Gurobi – annual)</w:t>
            </w:r>
          </w:p>
        </w:tc>
        <w:tc>
          <w:tcPr/>
          <w:p>
            <w:pPr>
              <w:pStyle w:val="Compact"/>
              <w:jc w:val="left"/>
            </w:pPr>
            <w:r>
              <w:t xml:space="preserve">1 license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Travel &amp; Local Transportation within United States San Francisco</w:t>
            </w:r>
          </w:p>
        </w:tc>
        <w:tc>
          <w:tcPr/>
          <w:p>
            <w:pPr>
              <w:pStyle w:val="Compact"/>
              <w:jc w:val="left"/>
            </w:pPr>
            <w:r>
              <w:t xml:space="preserve">12 weeks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05</w:t>
            </w:r>
          </w:p>
        </w:tc>
        <w:tc>
          <w:tcPr/>
          <w:p>
            <w:pPr>
              <w:pStyle w:val="Compact"/>
              <w:jc w:val="left"/>
            </w:pPr>
            <w:r>
              <w:t xml:space="preserve">Technical Documentation &amp; White Paper Production (3 deliverables)</w:t>
            </w:r>
          </w:p>
        </w:tc>
        <w:tc>
          <w:tcPr/>
          <w:p>
            <w:pPr>
              <w:pStyle w:val="Compact"/>
              <w:jc w:val="left"/>
            </w:pPr>
            <w:r>
              <w:t xml:space="preserve">3 documents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Project Management &amp; Coordination Overhead (15% of labor)</w:t>
            </w:r>
          </w:p>
        </w:tc>
        <w:tc>
          <w:tcPr/>
          <w:p>
            <w:pPr>
              <w:pStyle w:val="Compact"/>
              <w:jc w:val="left"/>
            </w:pPr>
            <w:r>
              <w:t xml:space="preserve">160 hours</w:t>
            </w:r>
          </w:p>
        </w:tc>
        <w:tc>
          <w:tcPr/>
          <w:p>
            <w:pPr>
              <w:pStyle w:val="Compact"/>
              <w:jc w:val="left"/>
            </w:pPr>
            <w:r>
              <w:t xml:space="preserve">$42.75</w:t>
            </w:r>
          </w:p>
        </w:tc>
        <w:tc>
          <w:tcPr/>
          <w:p>
            <w:pPr>
              <w:pStyle w:val="Compact"/>
              <w:jc w:val="left"/>
            </w:pPr>
            <w:r>
              <w:t xml:space="preserve">$6,840.00</w:t>
            </w:r>
          </w:p>
        </w:tc>
      </w:tr>
      <w:tr>
        <w:tc>
          <w:tcPr/>
          <w:p>
            <w:pPr>
              <w:pStyle w:val="Compact"/>
              <w:jc w:val="left"/>
            </w:pPr>
            <w:r>
              <w:t xml:space="preserve">07</w:t>
            </w:r>
          </w:p>
        </w:tc>
        <w:tc>
          <w:tcPr/>
          <w:p>
            <w:pPr>
              <w:pStyle w:val="Compact"/>
              <w:jc w:val="left"/>
            </w:pPr>
            <w:r>
              <w:t xml:space="preserve">Contingency Reserve (5% of total labor and materials)</w:t>
            </w:r>
          </w:p>
        </w:tc>
        <w:tc>
          <w:tcPr/>
          <w:p>
            <w:pPr>
              <w:pStyle w:val="Compact"/>
              <w:jc w:val="left"/>
            </w:pPr>
            <w:r>
              <w:t xml:space="preserve">—</w:t>
            </w:r>
          </w:p>
        </w:tc>
        <w:tc>
          <w:tcPr/>
          <w:p>
            <w:pPr>
              <w:pStyle w:val="Compact"/>
              <w:jc w:val="left"/>
            </w:pPr>
            <w:r>
              <w:t xml:space="preserve">—</w:t>
            </w:r>
          </w:p>
        </w:tc>
        <w:tc>
          <w:tcPr/>
          <w:p>
            <w:pPr>
              <w:pStyle w:val="Compact"/>
              <w:jc w:val="left"/>
            </w:pPr>
            <w:r>
              <w:t xml:space="preserve">$3,265.00</w:t>
            </w:r>
          </w:p>
        </w:tc>
      </w:tr>
      <w:tr>
        <w:tc>
          <w:tcPr>
            <w:gridSpan w:val="4"/>
          </w:tcPr>
          <w:p>
            <w:pPr>
              <w:pStyle w:val="Compact"/>
              <w:jc w:val="left"/>
            </w:pPr>
            <w:r>
              <w:rPr>
                <w:bCs/>
                <w:b/>
              </w:rPr>
              <w:t xml:space="preserve">Subtotal (Pre-Tax)</w:t>
            </w:r>
          </w:p>
        </w:tc>
        <w:tc>
          <w:tcPr/>
          <w:p>
            <w:pPr>
              <w:pStyle w:val="Compact"/>
              <w:jc w:val="left"/>
            </w:pPr>
            <w:r>
              <w:rPr>
                <w:bCs/>
                <w:b/>
              </w:rPr>
              <w:t xml:space="preserve">$69,425.00</w:t>
            </w:r>
          </w:p>
        </w:tc>
      </w:tr>
      <w:tr>
        <w:tc>
          <w:tcPr>
            <w:gridSpan w:val="4"/>
          </w:tcPr>
          <w:p>
            <w:pPr>
              <w:pStyle w:val="Compact"/>
              <w:jc w:val="left"/>
            </w:pPr>
            <w:r>
              <w:rPr>
                <w:bCs/>
                <w:b/>
              </w:rPr>
              <w:t xml:space="preserve">California State Sales &amp; Use Tax (8.63% – San Francisco, United States)</w:t>
            </w:r>
          </w:p>
        </w:tc>
        <w:tc>
          <w:tcPr/>
          <w:p>
            <w:pPr>
              <w:pStyle w:val="Compact"/>
              <w:jc w:val="left"/>
            </w:pPr>
            <w:r>
              <w:rPr>
                <w:bCs/>
                <w:b/>
              </w:rPr>
              <w:t xml:space="preserve">$5,991.38</w:t>
            </w:r>
          </w:p>
        </w:tc>
      </w:tr>
      <w:tr>
        <w:tc>
          <w:tcPr>
            <w:gridSpan w:val="4"/>
          </w:tcPr>
          <w:p>
            <w:pPr>
              <w:pStyle w:val="Compact"/>
              <w:jc w:val="left"/>
            </w:pPr>
            <w:r>
              <w:rPr>
                <w:bCs/>
                <w:b/>
              </w:rPr>
              <w:t xml:space="preserve">GRAND TOTAL (USD)</w:t>
            </w:r>
          </w:p>
        </w:tc>
        <w:tc>
          <w:tcPr/>
          <w:p>
            <w:pPr>
              <w:pStyle w:val="Compact"/>
              <w:jc w:val="left"/>
            </w:pPr>
            <w:r>
              <w:rPr>
                <w:bCs/>
                <w:b/>
              </w:rPr>
              <w:t xml:space="preserve">$75,416.38</w:t>
            </w:r>
          </w:p>
        </w:tc>
      </w:tr>
    </w:tbl>
    <w:bookmarkEnd w:id="23"/>
    <w:bookmarkStart w:id="24" w:name="payment-schedule"/>
    <w:p>
      <w:pPr>
        <w:pStyle w:val="Heading2"/>
      </w:pPr>
      <w:r>
        <w:t xml:space="preserve">5. Payment Schedule</w:t>
      </w:r>
    </w:p>
    <w:p>
      <w:pPr>
        <w:pStyle w:val="FirstParagraph"/>
      </w:pPr>
      <w:r>
        <w:t xml:space="preserve">As outlined in this Quotation Estimate, payment shall be structured in three installments to align with project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&amp; Mathematician Onboarding</w:t>
            </w:r>
          </w:p>
        </w:tc>
        <w:tc>
          <w:tcPr/>
          <w:p>
            <w:pPr>
              <w:pStyle w:val="Compact"/>
              <w:jc w:val="left"/>
            </w:pPr>
            <w:r>
              <w:t xml:space="preserve">30%</w:t>
            </w:r>
          </w:p>
        </w:tc>
        <w:tc>
          <w:tcPr/>
          <w:p>
            <w:pPr>
              <w:pStyle w:val="Compact"/>
              <w:jc w:val="left"/>
            </w:pPr>
            <w:r>
              <w:t xml:space="preserve">$22,624.91</w:t>
            </w:r>
          </w:p>
        </w:tc>
        <w:tc>
          <w:tcPr/>
          <w:p>
            <w:pPr>
              <w:pStyle w:val="Compact"/>
              <w:jc w:val="left"/>
            </w:pPr>
            <w:r>
              <w:t xml:space="preserve">Within 10 business days of signing</w:t>
            </w:r>
          </w:p>
        </w:tc>
      </w:tr>
      <w:tr>
        <w:tc>
          <w:tcPr/>
          <w:p>
            <w:pPr>
              <w:pStyle w:val="Compact"/>
              <w:jc w:val="left"/>
            </w:pPr>
            <w:r>
              <w:t xml:space="preserve">Mid-Project Deliverable Review (Week 6)</w:t>
            </w:r>
          </w:p>
        </w:tc>
        <w:tc>
          <w:tcPr/>
          <w:p>
            <w:pPr>
              <w:pStyle w:val="Compact"/>
              <w:jc w:val="left"/>
            </w:pPr>
            <w:r>
              <w:t xml:space="preserve">40%</w:t>
            </w:r>
          </w:p>
        </w:tc>
        <w:tc>
          <w:tcPr/>
          <w:p>
            <w:pPr>
              <w:pStyle w:val="Compact"/>
              <w:jc w:val="left"/>
            </w:pPr>
            <w:r>
              <w:t xml:space="preserve">$30,166.55</w:t>
            </w:r>
          </w:p>
        </w:tc>
        <w:tc>
          <w:tcPr/>
          <w:p>
            <w:pPr>
              <w:pStyle w:val="Compact"/>
              <w:jc w:val="left"/>
            </w:pPr>
            <w:r>
              <w:t xml:space="preserve">Upon approval of interim report</w:t>
            </w:r>
          </w:p>
        </w:tc>
      </w:tr>
      <w:tr>
        <w:tc>
          <w:tcPr/>
          <w:p>
            <w:pPr>
              <w:pStyle w:val="Compact"/>
              <w:jc w:val="left"/>
            </w:pPr>
            <w:r>
              <w:t xml:space="preserve">Final Delivery &amp; Acceptance</w:t>
            </w:r>
          </w:p>
        </w:tc>
        <w:tc>
          <w:tcPr/>
          <w:p>
            <w:pPr>
              <w:pStyle w:val="Compact"/>
              <w:jc w:val="left"/>
            </w:pPr>
            <w:r>
              <w:t xml:space="preserve">30%</w:t>
            </w:r>
          </w:p>
        </w:tc>
        <w:tc>
          <w:tcPr/>
          <w:p>
            <w:pPr>
              <w:pStyle w:val="Compact"/>
              <w:jc w:val="left"/>
            </w:pPr>
            <w:r>
              <w:t xml:space="preserve">$22,624.92</w:t>
            </w:r>
          </w:p>
        </w:tc>
        <w:tc>
          <w:tcPr/>
          <w:p>
            <w:pPr>
              <w:pStyle w:val="Compact"/>
              <w:jc w:val="left"/>
            </w:pPr>
            <w:r>
              <w:t xml:space="preserve">Within 15 business days of final acceptance</w:t>
            </w:r>
          </w:p>
        </w:tc>
      </w:tr>
    </w:tbl>
    <w:bookmarkEnd w:id="24"/>
    <w:bookmarkStart w:id="25"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issuance. After the expiration date, all rates and availability of the Mathematician are subject to re-evaluation.</w:t>
      </w:r>
    </w:p>
    <w:p>
      <w:pPr>
        <w:numPr>
          <w:ilvl w:val="0"/>
          <w:numId w:val="1002"/>
        </w:numPr>
        <w:pStyle w:val="Compact"/>
      </w:pPr>
      <w:r>
        <w:t xml:space="preserve">All services described in this Quotation Estimate shall be performed by a qualified Mathematician who is legally authorized to work in the United States. The Mathematician will maintain a valid Social Security Number or appropriate work authorization for employment in the United States San Francisco jurisdiction.</w:t>
      </w:r>
    </w:p>
    <w:p>
      <w:pPr>
        <w:numPr>
          <w:ilvl w:val="0"/>
          <w:numId w:val="1002"/>
        </w:numPr>
        <w:pStyle w:val="Compact"/>
      </w:pPr>
      <w:r>
        <w:t xml:space="preserve">Apex Analytical Consulting Group shall comply with all applicable federal, California state, and San Francisco municipal labor laws, including but not limited to minimum wage ordinances, overtime regulations, and workers' compensation requirements specific to the United States San Francisco area.</w:t>
      </w:r>
    </w:p>
    <w:p>
      <w:pPr>
        <w:numPr>
          <w:ilvl w:val="0"/>
          <w:numId w:val="1002"/>
        </w:numPr>
        <w:pStyle w:val="Compact"/>
      </w:pPr>
      <w:r>
        <w:t xml:space="preserve">Intellectual property generated by the Mathematician during the course of this engagement shall be jointly owned by the client and Apex Analytical Consulting Group, as further detailed in the separate Master Service Agreement.</w:t>
      </w:r>
    </w:p>
    <w:p>
      <w:pPr>
        <w:numPr>
          <w:ilvl w:val="0"/>
          <w:numId w:val="1002"/>
        </w:numPr>
        <w:pStyle w:val="Compact"/>
      </w:pPr>
      <w:r>
        <w:t xml:space="preserve">Confidentiality obligations shall survive termination of this Quotation Estimate engagement for a period of five (5) years.</w:t>
      </w:r>
    </w:p>
    <w:p>
      <w:pPr>
        <w:numPr>
          <w:ilvl w:val="0"/>
          <w:numId w:val="1002"/>
        </w:numPr>
        <w:pStyle w:val="Compact"/>
      </w:pPr>
      <w:r>
        <w:t xml:space="preserve">Any changes to scope, duration, or deliverables must be documented in a written Change Order signed by both parties before additional work commences. Revised pricing will be issued as an amended Quotation Estimate.</w:t>
      </w:r>
    </w:p>
    <w:p>
      <w:pPr>
        <w:numPr>
          <w:ilvl w:val="0"/>
          <w:numId w:val="1002"/>
        </w:numPr>
        <w:pStyle w:val="Compact"/>
      </w:pPr>
      <w:r>
        <w:t xml:space="preserve">Force majeure events, including but not limited to natural disasters affecting the United States San Francisco region, shall suspend obligations without penalty for a period not exceeding thirty (30) days.</w:t>
      </w:r>
    </w:p>
    <w:bookmarkEnd w:id="25"/>
    <w:bookmarkStart w:id="26" w:name="assumptions-and-exclusions"/>
    <w:p>
      <w:pPr>
        <w:pStyle w:val="Heading2"/>
      </w:pPr>
      <w:r>
        <w:t xml:space="preserve">7. Assumptions and Exclusions</w:t>
      </w:r>
    </w:p>
    <w:p>
      <w:pPr>
        <w:numPr>
          <w:ilvl w:val="0"/>
          <w:numId w:val="1003"/>
        </w:numPr>
        <w:pStyle w:val="Compact"/>
      </w:pPr>
      <w:r>
        <w:t xml:space="preserve">This Quotation Estimate assumes the client will provide a dedicated workspace, high-speed internet access, and necessary hardware at the San Francisco office location.</w:t>
      </w:r>
    </w:p>
    <w:p>
      <w:pPr>
        <w:numPr>
          <w:ilvl w:val="0"/>
          <w:numId w:val="1003"/>
        </w:numPr>
        <w:pStyle w:val="Compact"/>
      </w:pPr>
      <w:r>
        <w:t xml:space="preserve">Costs for long-distance air travel to or from the United States San Francisco area are excluded and will be billed at actual cost if required.</w:t>
      </w:r>
    </w:p>
    <w:p>
      <w:pPr>
        <w:numPr>
          <w:ilvl w:val="0"/>
          <w:numId w:val="1003"/>
        </w:numPr>
        <w:pStyle w:val="Compact"/>
      </w:pPr>
      <w:r>
        <w:t xml:space="preserve">Third-party data acquisition fees exceeding $2,000 per dataset are excluded and require prior written approval.</w:t>
      </w:r>
    </w:p>
    <w:p>
      <w:pPr>
        <w:numPr>
          <w:ilvl w:val="0"/>
          <w:numId w:val="1003"/>
        </w:numPr>
        <w:pStyle w:val="Compact"/>
      </w:pPr>
      <w:r>
        <w:t xml:space="preserve">The Mathematician's professional liability insurance is included; however, the client is responsible for any additional project-specific insurance requirements mandated by the United States San Francisco municipal code.</w:t>
      </w:r>
    </w:p>
    <w:bookmarkEnd w:id="26"/>
    <w:bookmarkStart w:id="27" w:name="acceptance-and-authorization"/>
    <w:p>
      <w:pPr>
        <w:pStyle w:val="Heading2"/>
      </w:pPr>
      <w:r>
        <w:t xml:space="preserve">8. Acceptance and Authorization</w:t>
      </w:r>
    </w:p>
    <w:p>
      <w:pPr>
        <w:pStyle w:val="FirstParagraph"/>
      </w:pPr>
      <w:r>
        <w:t xml:space="preserve">By signing below, the client acknowledges receipt of this Quotation Estimate and agrees to the terms, conditions, and pricing outlined herein. This signature constitutes formal acceptance of the Quotation Estimate and authorizes Apex Analytical Consulting Group to proceed with the engagement of the Mathematician as described.</w:t>
      </w:r>
    </w:p>
    <w:p>
      <w:pPr>
        <w:pStyle w:val="BodyText"/>
      </w:pPr>
      <w:r>
        <w:rPr>
          <w:bCs/>
          <w:b/>
        </w:rPr>
        <w:t xml:space="preserve">For Apex Analytical Consulting Group:</w:t>
      </w:r>
    </w:p>
    <w:p>
      <w:pPr>
        <w:pStyle w:val="BodyText"/>
      </w:pPr>
      <w:r>
        <w:rPr>
          <w:bCs/>
          <w:b/>
        </w:rPr>
        <w:t xml:space="preserve">Jonathan R. Whitfield</w:t>
      </w:r>
      <w:r>
        <w:br/>
      </w:r>
      <w:r>
        <w:t xml:space="preserve">Director of Quantitative Services</w:t>
      </w:r>
      <w:r>
        <w:br/>
      </w:r>
      <w:r>
        <w:t xml:space="preserve">Date: ______________________</w:t>
      </w:r>
    </w:p>
    <w:p>
      <w:pPr>
        <w:pStyle w:val="BodyText"/>
      </w:pPr>
      <w:r>
        <w:rPr>
          <w:bCs/>
          <w:b/>
        </w:rPr>
        <w:t xml:space="preserve">For Bay Area Technology Solutions, Inc.:</w:t>
      </w:r>
    </w:p>
    <w:p>
      <w:pPr>
        <w:pStyle w:val="BodyText"/>
      </w:pPr>
      <w:r>
        <w:rPr>
          <w:bCs/>
          <w:b/>
        </w:rPr>
        <w:t xml:space="preserve">Dr. Elena Vasquez</w:t>
      </w:r>
      <w:r>
        <w:br/>
      </w:r>
      <w:r>
        <w:t xml:space="preserve">VP of Research &amp; Development</w:t>
      </w:r>
      <w:r>
        <w:br/>
      </w:r>
      <w:r>
        <w:t xml:space="preserve">Date: ______________________</w:t>
      </w:r>
    </w:p>
    <w:p>
      <w:pPr>
        <w:pStyle w:val="BodyText"/>
      </w:pPr>
      <w:r>
        <w:t xml:space="preserve">This Quotation Estimate was prepared exclusively for the named client and is not transferable. All monetary values are denominated in United States Dollars (USD). For questions regarding this Quotation Estimate, please contact estimates@apexanalytical.com or call (415) 555-0198. © 2025 Apex Analytical Consulting Group.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United States San Francisco</dc:title>
  <dc:creator/>
  <dc:language>en</dc:language>
  <cp:keywords/>
  <dcterms:created xsi:type="dcterms:W3CDTF">2026-10-10T03:13:30Z</dcterms:created>
  <dcterms:modified xsi:type="dcterms:W3CDTF">2026-10-10T03:13:30Z</dcterms:modified>
</cp:coreProperties>
</file>

<file path=docProps/custom.xml><?xml version="1.0" encoding="utf-8"?>
<Properties xmlns="http://schemas.openxmlformats.org/officeDocument/2006/custom-properties" xmlns:vt="http://schemas.openxmlformats.org/officeDocument/2006/docPropsVTypes"/>
</file>