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Mathematician Engagement Services</w:t>
      </w:r>
    </w:p>
    <w:p>
      <w:pPr>
        <w:pStyle w:val="BodyText"/>
      </w:pPr>
      <w:r>
        <w:t xml:space="preserve">Uzbekistan Tashkent | Central Asia Region</w:t>
      </w:r>
    </w:p>
    <w:bookmarkEnd w:id="20"/>
    <w:p>
      <w:pPr>
        <w:pStyle w:val="BodyText"/>
      </w:pPr>
      <w:r>
        <w:rPr>
          <w:bCs/>
          <w:b/>
        </w:rPr>
        <w:t xml:space="preserve">Quotation No.:</w:t>
      </w:r>
      <w:r>
        <w:t xml:space="preserve"> </w:t>
      </w:r>
      <w:r>
        <w:t xml:space="preserve">QE-TSK-2025-0487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Tashkent State University of Economics, Uzbekistan</w:t>
      </w:r>
    </w:p>
    <w:p>
      <w:pPr>
        <w:pStyle w:val="BodyText"/>
      </w:pPr>
      <w:r>
        <w:t xml:space="preserve">This</w:t>
      </w:r>
      <w:r>
        <w:t xml:space="preserve"> </w:t>
      </w:r>
      <w:r>
        <w:t xml:space="preserve">Quotation Estimate</w:t>
      </w:r>
      <w:r>
        <w:t xml:space="preserve"> </w:t>
      </w:r>
      <w:r>
        <w:t xml:space="preserve">is formally issued by</w:t>
      </w:r>
      <w:r>
        <w:t xml:space="preserve"> </w:t>
      </w:r>
      <w:r>
        <w:rPr>
          <w:bCs/>
          <w:b/>
        </w:rPr>
        <w:t xml:space="preserve">Apex Academic Consulting LLP</w:t>
      </w:r>
      <w:r>
        <w:t xml:space="preserve">, a registered professional services firm operating in</w:t>
      </w:r>
      <w:r>
        <w:t xml:space="preserve"> </w:t>
      </w:r>
      <w:r>
        <w:t xml:space="preserve">Uzbekistan Tashkent</w:t>
      </w:r>
      <w:r>
        <w:t xml:space="preserve">, in response to the request for the engagement of a qualified</w:t>
      </w:r>
      <w:r>
        <w:t xml:space="preserve"> </w:t>
      </w:r>
      <w:r>
        <w:t xml:space="preserve">Mathematician</w:t>
      </w:r>
      <w:r>
        <w:t xml:space="preserve"> </w:t>
      </w:r>
      <w:r>
        <w:t xml:space="preserve">to support advanced research, curriculum development, and applied modelling projects. This document outlines the full scope of services, associated costs, and contractual terms governing the proposed engagement. All figures presented in this</w:t>
      </w:r>
      <w:r>
        <w:t xml:space="preserve"> </w:t>
      </w:r>
      <w:r>
        <w:t xml:space="preserve">Quotation Estimate</w:t>
      </w:r>
      <w:r>
        <w:t xml:space="preserve"> </w:t>
      </w:r>
      <w:r>
        <w:t xml:space="preserve">are denominated in Uzbek Som (UZS) unless otherwise stated, and reflect current market rates applicable to the</w:t>
      </w:r>
      <w:r>
        <w:t xml:space="preserve"> </w:t>
      </w:r>
      <w:r>
        <w:t xml:space="preserve">Uzbekistan Tashkent</w:t>
      </w:r>
      <w:r>
        <w:t xml:space="preserve"> </w:t>
      </w:r>
      <w:r>
        <w:t xml:space="preserve">professional services sector as of the date of issue.</w:t>
      </w:r>
    </w:p>
    <w:p>
      <w:pPr>
        <w:pStyle w:val="BodyText"/>
      </w:pPr>
      <w:r>
        <w:t xml:space="preserve">1. Scope of Services – Mathematician Engagement</w:t>
      </w:r>
    </w:p>
    <w:p>
      <w:pPr>
        <w:pStyle w:val="BodyText"/>
      </w:pPr>
      <w:r>
        <w:t xml:space="preserve">The proposed</w:t>
      </w:r>
      <w:r>
        <w:t xml:space="preserve"> </w:t>
      </w:r>
      <w:r>
        <w:t xml:space="preserve">Mathematician</w:t>
      </w:r>
      <w:r>
        <w:t xml:space="preserve"> </w:t>
      </w:r>
      <w:r>
        <w:t xml:space="preserve">will be a senior academic professional with a minimum of fifteen (15) years of post-doctoral experience in applied mathematics, numerical analysis, and computational modelling. The</w:t>
      </w:r>
      <w:r>
        <w:t xml:space="preserve"> </w:t>
      </w:r>
      <w:r>
        <w:t xml:space="preserve">Mathematician</w:t>
      </w:r>
      <w:r>
        <w:t xml:space="preserve"> </w:t>
      </w:r>
      <w:r>
        <w:t xml:space="preserve">will be based in</w:t>
      </w:r>
      <w:r>
        <w:t xml:space="preserve"> </w:t>
      </w:r>
      <w:r>
        <w:t xml:space="preserve">Uzbekistan Tashkent</w:t>
      </w:r>
      <w:r>
        <w:t xml:space="preserve"> </w:t>
      </w:r>
      <w:r>
        <w:t xml:space="preserve">and will operate under the direct supervision of the client's research directorate. The scope of work encompasses the following deliverables:</w:t>
      </w:r>
    </w:p>
    <w:p>
      <w:pPr>
        <w:numPr>
          <w:ilvl w:val="0"/>
          <w:numId w:val="1001"/>
        </w:numPr>
        <w:pStyle w:val="Compact"/>
      </w:pPr>
      <w:r>
        <w:t xml:space="preserve">Development and delivery of advanced mathematical curricula for graduate-level programmes in the fields of differential equations, stochastic processes, and optimisation theory.</w:t>
      </w:r>
    </w:p>
    <w:p>
      <w:pPr>
        <w:numPr>
          <w:ilvl w:val="0"/>
          <w:numId w:val="1001"/>
        </w:numPr>
        <w:pStyle w:val="Compact"/>
      </w:pPr>
      <w:r>
        <w:t xml:space="preserve">Design and implementation of computational models for agricultural yield forecasting relevant to the Tashkent region's irrigation infrastructure.</w:t>
      </w:r>
    </w:p>
    <w:p>
      <w:pPr>
        <w:numPr>
          <w:ilvl w:val="0"/>
          <w:numId w:val="1001"/>
        </w:numPr>
        <w:pStyle w:val="Compact"/>
      </w:pPr>
      <w:r>
        <w:t xml:space="preserve">Peer review and editorial oversight of a minimum of twelve (12) research manuscripts per annum targeting international journals indexed in Scopus and Web of Science.</w:t>
      </w:r>
    </w:p>
    <w:p>
      <w:pPr>
        <w:numPr>
          <w:ilvl w:val="0"/>
          <w:numId w:val="1001"/>
        </w:numPr>
        <w:pStyle w:val="Compact"/>
      </w:pPr>
      <w:r>
        <w:t xml:space="preserve">Mentorship and supervision of no fewer than six (6) doctoral candidates in the Department of Applied Mathematics.</w:t>
      </w:r>
    </w:p>
    <w:p>
      <w:pPr>
        <w:numPr>
          <w:ilvl w:val="0"/>
          <w:numId w:val="1001"/>
        </w:numPr>
        <w:pStyle w:val="Compact"/>
      </w:pPr>
      <w:r>
        <w:t xml:space="preserve">Participation in at least three (3) international academic conferences per year, with the</w:t>
      </w:r>
      <w:r>
        <w:t xml:space="preserve"> </w:t>
      </w:r>
      <w:r>
        <w:t xml:space="preserve">Mathematician</w:t>
      </w:r>
      <w:r>
        <w:t xml:space="preserve"> </w:t>
      </w:r>
      <w:r>
        <w:t xml:space="preserve">representing the institution in</w:t>
      </w:r>
      <w:r>
        <w:t xml:space="preserve"> </w:t>
      </w:r>
      <w:r>
        <w:t xml:space="preserve">Uzbekistan Tashkent</w:t>
      </w:r>
      <w:r>
        <w:t xml:space="preserve"> </w:t>
      </w:r>
      <w:r>
        <w:t xml:space="preserve">and abroad.</w:t>
      </w:r>
    </w:p>
    <w:p>
      <w:pPr>
        <w:numPr>
          <w:ilvl w:val="0"/>
          <w:numId w:val="1001"/>
        </w:numPr>
        <w:pStyle w:val="Compact"/>
      </w:pPr>
      <w:r>
        <w:t xml:space="preserve">Collaboration with the Tashkent Institute of Mathematics and Mechanics on joint grant applications to the National Science Foundation of the Republic of Uzbekistan.</w:t>
      </w:r>
    </w:p>
    <w:p>
      <w:pPr>
        <w:pStyle w:val="FirstParagraph"/>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(UZS)</w:t>
            </w:r>
          </w:p>
        </w:tc>
        <w:tc>
          <w:tcPr/>
          <w:p>
            <w:pPr>
              <w:pStyle w:val="Compact"/>
              <w:jc w:val="left"/>
            </w:pPr>
            <w:r>
              <w:t xml:space="preserve">Quantity</w:t>
            </w:r>
          </w:p>
        </w:tc>
        <w:tc>
          <w:tcPr/>
          <w:p>
            <w:pPr>
              <w:pStyle w:val="Compact"/>
              <w:jc w:val="left"/>
            </w:pPr>
            <w:r>
              <w:t xml:space="preserve">Total (UZS)</w:t>
            </w:r>
          </w:p>
        </w:tc>
      </w:tr>
      <w:tr>
        <w:tc>
          <w:tcPr/>
          <w:p>
            <w:pPr>
              <w:pStyle w:val="Compact"/>
              <w:jc w:val="left"/>
            </w:pPr>
            <w:r>
              <w:t xml:space="preserve">01</w:t>
            </w:r>
          </w:p>
        </w:tc>
        <w:tc>
          <w:tcPr/>
          <w:p>
            <w:pPr>
              <w:pStyle w:val="Compact"/>
              <w:jc w:val="left"/>
            </w:pPr>
            <w:r>
              <w:t xml:space="preserve">Senior Mathematician – Monthly Professional Fee (full-time engagement in Uzbekistan Tashkent)</w:t>
            </w:r>
          </w:p>
        </w:tc>
        <w:tc>
          <w:tcPr/>
          <w:p>
            <w:pPr>
              <w:pStyle w:val="Compact"/>
              <w:jc w:val="left"/>
            </w:pPr>
            <w:r>
              <w:t xml:space="preserve">12 months</w:t>
            </w:r>
          </w:p>
        </w:tc>
        <w:tc>
          <w:tcPr/>
          <w:p>
            <w:pPr>
              <w:pStyle w:val="Compact"/>
              <w:jc w:val="left"/>
            </w:pPr>
            <w:r>
              <w:t xml:space="preserve">48,500,000</w:t>
            </w:r>
          </w:p>
        </w:tc>
        <w:tc>
          <w:tcPr/>
          <w:p>
            <w:pPr>
              <w:pStyle w:val="Compact"/>
              <w:jc w:val="left"/>
            </w:pPr>
            <w:r>
              <w:t xml:space="preserve">12</w:t>
            </w:r>
          </w:p>
        </w:tc>
        <w:tc>
          <w:tcPr/>
          <w:p>
            <w:pPr>
              <w:pStyle w:val="Compact"/>
              <w:jc w:val="left"/>
            </w:pPr>
            <w:r>
              <w:t xml:space="preserve">582,000,000</w:t>
            </w:r>
          </w:p>
        </w:tc>
      </w:tr>
      <w:tr>
        <w:tc>
          <w:tcPr/>
          <w:p>
            <w:pPr>
              <w:pStyle w:val="Compact"/>
              <w:jc w:val="left"/>
            </w:pPr>
            <w:r>
              <w:t xml:space="preserve">02</w:t>
            </w:r>
          </w:p>
        </w:tc>
        <w:tc>
          <w:tcPr/>
          <w:p>
            <w:pPr>
              <w:pStyle w:val="Compact"/>
              <w:jc w:val="left"/>
            </w:pPr>
            <w:r>
              <w:t xml:space="preserve">Curriculum Development &amp; Pedagogical Design (3 modules)</w:t>
            </w:r>
          </w:p>
        </w:tc>
        <w:tc>
          <w:tcPr/>
          <w:p>
            <w:pPr>
              <w:pStyle w:val="Compact"/>
              <w:jc w:val="left"/>
            </w:pPr>
            <w:r>
              <w:t xml:space="preserve">One-time</w:t>
            </w:r>
          </w:p>
        </w:tc>
        <w:tc>
          <w:tcPr/>
          <w:p>
            <w:pPr>
              <w:pStyle w:val="Compact"/>
              <w:jc w:val="left"/>
            </w:pPr>
            <w:r>
              <w:t xml:space="preserve">35,000,000</w:t>
            </w:r>
          </w:p>
        </w:tc>
        <w:tc>
          <w:tcPr/>
          <w:p>
            <w:pPr>
              <w:pStyle w:val="Compact"/>
              <w:jc w:val="left"/>
            </w:pPr>
            <w:r>
              <w:t xml:space="preserve">3</w:t>
            </w:r>
          </w:p>
        </w:tc>
        <w:tc>
          <w:tcPr/>
          <w:p>
            <w:pPr>
              <w:pStyle w:val="Compact"/>
              <w:jc w:val="left"/>
            </w:pPr>
            <w:r>
              <w:t xml:space="preserve">105,000,000</w:t>
            </w:r>
          </w:p>
        </w:tc>
      </w:tr>
      <w:tr>
        <w:tc>
          <w:tcPr/>
          <w:p>
            <w:pPr>
              <w:pStyle w:val="Compact"/>
              <w:jc w:val="left"/>
            </w:pPr>
            <w:r>
              <w:t xml:space="preserve">03</w:t>
            </w:r>
          </w:p>
        </w:tc>
        <w:tc>
          <w:tcPr/>
          <w:p>
            <w:pPr>
              <w:pStyle w:val="Compact"/>
              <w:jc w:val="left"/>
            </w:pPr>
            <w:r>
              <w:t xml:space="preserve">Computational Modelling &amp; Simulation (Agricultural Forecasting Project)</w:t>
            </w:r>
          </w:p>
        </w:tc>
        <w:tc>
          <w:tcPr/>
          <w:p>
            <w:pPr>
              <w:pStyle w:val="Compact"/>
              <w:jc w:val="left"/>
            </w:pPr>
            <w:r>
              <w:t xml:space="preserve">6 months</w:t>
            </w:r>
          </w:p>
        </w:tc>
        <w:tc>
          <w:tcPr/>
          <w:p>
            <w:pPr>
              <w:pStyle w:val="Compact"/>
              <w:jc w:val="left"/>
            </w:pPr>
            <w:r>
              <w:t xml:space="preserve">28,000,000</w:t>
            </w:r>
          </w:p>
        </w:tc>
        <w:tc>
          <w:tcPr/>
          <w:p>
            <w:pPr>
              <w:pStyle w:val="Compact"/>
              <w:jc w:val="left"/>
            </w:pPr>
            <w:r>
              <w:t xml:space="preserve">6</w:t>
            </w:r>
          </w:p>
        </w:tc>
        <w:tc>
          <w:tcPr/>
          <w:p>
            <w:pPr>
              <w:pStyle w:val="Compact"/>
              <w:jc w:val="left"/>
            </w:pPr>
            <w:r>
              <w:t xml:space="preserve">168,000,000</w:t>
            </w:r>
          </w:p>
        </w:tc>
      </w:tr>
      <w:tr>
        <w:tc>
          <w:tcPr/>
          <w:p>
            <w:pPr>
              <w:pStyle w:val="Compact"/>
              <w:jc w:val="left"/>
            </w:pPr>
            <w:r>
              <w:t xml:space="preserve">04</w:t>
            </w:r>
          </w:p>
        </w:tc>
        <w:tc>
          <w:tcPr/>
          <w:p>
            <w:pPr>
              <w:pStyle w:val="Compact"/>
              <w:jc w:val="left"/>
            </w:pPr>
            <w:r>
              <w:t xml:space="preserve">Research Manuscript Review &amp; Editorial Supervision</w:t>
            </w:r>
          </w:p>
        </w:tc>
        <w:tc>
          <w:tcPr/>
          <w:p>
            <w:pPr>
              <w:pStyle w:val="Compact"/>
              <w:jc w:val="left"/>
            </w:pPr>
            <w:r>
              <w:t xml:space="preserve">12 months</w:t>
            </w:r>
          </w:p>
        </w:tc>
        <w:tc>
          <w:tcPr/>
          <w:p>
            <w:pPr>
              <w:pStyle w:val="Compact"/>
              <w:jc w:val="left"/>
            </w:pPr>
            <w:r>
              <w:t xml:space="preserve">12,000,000</w:t>
            </w:r>
          </w:p>
        </w:tc>
        <w:tc>
          <w:tcPr/>
          <w:p>
            <w:pPr>
              <w:pStyle w:val="Compact"/>
              <w:jc w:val="left"/>
            </w:pPr>
            <w:r>
              <w:t xml:space="preserve">12</w:t>
            </w:r>
          </w:p>
        </w:tc>
        <w:tc>
          <w:tcPr/>
          <w:p>
            <w:pPr>
              <w:pStyle w:val="Compact"/>
              <w:jc w:val="left"/>
            </w:pPr>
            <w:r>
              <w:t xml:space="preserve">144,000,000</w:t>
            </w:r>
          </w:p>
        </w:tc>
      </w:tr>
      <w:tr>
        <w:tc>
          <w:tcPr/>
          <w:p>
            <w:pPr>
              <w:pStyle w:val="Compact"/>
              <w:jc w:val="left"/>
            </w:pPr>
            <w:r>
              <w:t xml:space="preserve">05</w:t>
            </w:r>
          </w:p>
        </w:tc>
        <w:tc>
          <w:tcPr/>
          <w:p>
            <w:pPr>
              <w:pStyle w:val="Compact"/>
              <w:jc w:val="left"/>
            </w:pPr>
            <w:r>
              <w:t xml:space="preserve">Doctoral Candidate Supervision &amp; Mentorship (6 students)</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6</w:t>
            </w:r>
          </w:p>
        </w:tc>
        <w:tc>
          <w:tcPr/>
          <w:p>
            <w:pPr>
              <w:pStyle w:val="Compact"/>
              <w:jc w:val="left"/>
            </w:pPr>
            <w:r>
              <w:t xml:space="preserve">51,000,000</w:t>
            </w:r>
          </w:p>
        </w:tc>
      </w:tr>
      <w:tr>
        <w:tc>
          <w:tcPr/>
          <w:p>
            <w:pPr>
              <w:pStyle w:val="Compact"/>
              <w:jc w:val="left"/>
            </w:pPr>
            <w:r>
              <w:t xml:space="preserve">06</w:t>
            </w:r>
          </w:p>
        </w:tc>
        <w:tc>
          <w:tcPr/>
          <w:p>
            <w:pPr>
              <w:pStyle w:val="Compact"/>
              <w:jc w:val="left"/>
            </w:pPr>
            <w:r>
              <w:t xml:space="preserve">International Conference Participation &amp; Travel (3 events)</w:t>
            </w:r>
          </w:p>
        </w:tc>
        <w:tc>
          <w:tcPr/>
          <w:p>
            <w:pPr>
              <w:pStyle w:val="Compact"/>
              <w:jc w:val="left"/>
            </w:pPr>
            <w:r>
              <w:t xml:space="preserve">12 months</w:t>
            </w:r>
          </w:p>
        </w:tc>
        <w:tc>
          <w:tcPr/>
          <w:p>
            <w:pPr>
              <w:pStyle w:val="Compact"/>
              <w:jc w:val="left"/>
            </w:pPr>
            <w:r>
              <w:t xml:space="preserve">22,000,000</w:t>
            </w:r>
          </w:p>
        </w:tc>
        <w:tc>
          <w:tcPr/>
          <w:p>
            <w:pPr>
              <w:pStyle w:val="Compact"/>
              <w:jc w:val="left"/>
            </w:pPr>
            <w:r>
              <w:t xml:space="preserve">3</w:t>
            </w:r>
          </w:p>
        </w:tc>
        <w:tc>
          <w:tcPr/>
          <w:p>
            <w:pPr>
              <w:pStyle w:val="Compact"/>
              <w:jc w:val="left"/>
            </w:pPr>
            <w:r>
              <w:t xml:space="preserve">66,000,000</w:t>
            </w:r>
          </w:p>
        </w:tc>
      </w:tr>
      <w:tr>
        <w:tc>
          <w:tcPr/>
          <w:p>
            <w:pPr>
              <w:pStyle w:val="Compact"/>
              <w:jc w:val="left"/>
            </w:pPr>
            <w:r>
              <w:t xml:space="preserve">07</w:t>
            </w:r>
          </w:p>
        </w:tc>
        <w:tc>
          <w:tcPr/>
          <w:p>
            <w:pPr>
              <w:pStyle w:val="Compact"/>
              <w:jc w:val="left"/>
            </w:pPr>
            <w:r>
              <w:t xml:space="preserve">Joint Grant Application Support (National Science Foundation, Uzbekistan)</w:t>
            </w:r>
          </w:p>
        </w:tc>
        <w:tc>
          <w:tcPr/>
          <w:p>
            <w:pPr>
              <w:pStyle w:val="Compact"/>
              <w:jc w:val="left"/>
            </w:pPr>
            <w:r>
              <w:t xml:space="preserve">One-time</w:t>
            </w:r>
          </w:p>
        </w:tc>
        <w:tc>
          <w:tcPr/>
          <w:p>
            <w:pPr>
              <w:pStyle w:val="Compact"/>
              <w:jc w:val="left"/>
            </w:pPr>
            <w:r>
              <w:t xml:space="preserve">18,000,000</w:t>
            </w:r>
          </w:p>
        </w:tc>
        <w:tc>
          <w:tcPr/>
          <w:p>
            <w:pPr>
              <w:pStyle w:val="Compact"/>
              <w:jc w:val="left"/>
            </w:pPr>
            <w:r>
              <w:t xml:space="preserve">1</w:t>
            </w:r>
          </w:p>
        </w:tc>
        <w:tc>
          <w:tcPr/>
          <w:p>
            <w:pPr>
              <w:pStyle w:val="Compact"/>
              <w:jc w:val="left"/>
            </w:pPr>
            <w:r>
              <w:t xml:space="preserve">18,000,000</w:t>
            </w:r>
          </w:p>
        </w:tc>
      </w:tr>
      <w:tr>
        <w:tc>
          <w:tcPr/>
          <w:p>
            <w:pPr>
              <w:pStyle w:val="Compact"/>
              <w:jc w:val="left"/>
            </w:pPr>
            <w:r>
              <w:t xml:space="preserve">08</w:t>
            </w:r>
          </w:p>
        </w:tc>
        <w:tc>
          <w:tcPr/>
          <w:p>
            <w:pPr>
              <w:pStyle w:val="Compact"/>
              <w:jc w:val="left"/>
            </w:pPr>
            <w:r>
              <w:t xml:space="preserve">Administrative &amp; Coordination Overhead (Apex Academic Consulting LLP, Tashkent office)</w:t>
            </w:r>
          </w:p>
        </w:tc>
        <w:tc>
          <w:tcPr/>
          <w:p>
            <w:pPr>
              <w:pStyle w:val="Compact"/>
              <w:jc w:val="left"/>
            </w:pPr>
            <w:r>
              <w:t xml:space="preserve">12 months</w:t>
            </w:r>
          </w:p>
        </w:tc>
        <w:tc>
          <w:tcPr/>
          <w:p>
            <w:pPr>
              <w:pStyle w:val="Compact"/>
              <w:jc w:val="left"/>
            </w:pPr>
            <w:r>
              <w:t xml:space="preserve">15,000,000</w:t>
            </w:r>
          </w:p>
        </w:tc>
        <w:tc>
          <w:tcPr/>
          <w:p>
            <w:pPr>
              <w:pStyle w:val="Compact"/>
              <w:jc w:val="left"/>
            </w:pPr>
            <w:r>
              <w:t xml:space="preserve">12</w:t>
            </w:r>
          </w:p>
        </w:tc>
        <w:tc>
          <w:tcPr/>
          <w:p>
            <w:pPr>
              <w:pStyle w:val="Compact"/>
              <w:jc w:val="left"/>
            </w:pPr>
            <w:r>
              <w:t xml:space="preserve">180,000,000</w:t>
            </w:r>
          </w:p>
        </w:tc>
      </w:tr>
      <w:tr>
        <w:tc>
          <w:tcPr>
            <w:gridSpan w:val="5"/>
          </w:tcPr>
          <w:p>
            <w:pPr>
              <w:pStyle w:val="Compact"/>
              <w:jc w:val="left"/>
            </w:pPr>
            <w:r>
              <w:t xml:space="preserve">GRAND TOTAL (VAT inclusive at 12%)</w:t>
            </w:r>
          </w:p>
        </w:tc>
        <w:tc>
          <w:tcPr/>
          <w:p>
            <w:pPr>
              <w:pStyle w:val="Compact"/>
              <w:jc w:val="left"/>
            </w:pPr>
            <w:r>
              <w:t xml:space="preserve">1,314,000,000 UZS</w:t>
            </w:r>
          </w:p>
        </w:tc>
      </w:tr>
    </w:tbl>
    <w:p>
      <w:pPr>
        <w:pStyle w:val="BodyText"/>
      </w:pPr>
      <w:r>
        <w:t xml:space="preserve">3. Payment Terms</w:t>
      </w:r>
    </w:p>
    <w:p>
      <w:pPr>
        <w:pStyle w:val="BodyText"/>
      </w:pPr>
      <w:r>
        <w:t xml:space="preserve">Payment for the services outlined in this</w:t>
      </w:r>
      <w:r>
        <w:t xml:space="preserve"> </w:t>
      </w:r>
      <w:r>
        <w:t xml:space="preserve">Quotation Estimate</w:t>
      </w:r>
      <w:r>
        <w:t xml:space="preserve"> </w:t>
      </w:r>
      <w:r>
        <w:t xml:space="preserve">shall be made in quarterly instalments, with the first payment due within thirty (30) calendar days of the contract execution date. Subsequent payments shall be due on the 1st of January, April, July, and October of the engagement year. All payments shall be transferred via bank wire to the designated account of Apex Academic Consulting LLP, registered in</w:t>
      </w:r>
      <w:r>
        <w:t xml:space="preserve"> </w:t>
      </w:r>
      <w:r>
        <w:t xml:space="preserve">Uzbekistan Tashkent</w:t>
      </w:r>
      <w:r>
        <w:t xml:space="preserve">, Chilonzor District. Late payments shall incur a penalty of 1.5% per month on the outstanding balance.</w:t>
      </w:r>
    </w:p>
    <w:p>
      <w:pPr>
        <w:pStyle w:val="BodyText"/>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Beyond this period, all rates are subject to revision based on prevailing economic conditions in</w:t>
      </w:r>
      <w:r>
        <w:t xml:space="preserve"> </w:t>
      </w:r>
      <w:r>
        <w:t xml:space="preserve">Uzbekistan Tashkent</w:t>
      </w:r>
      <w:r>
        <w:t xml:space="preserve">.</w:t>
      </w:r>
    </w:p>
    <w:p>
      <w:pPr>
        <w:numPr>
          <w:ilvl w:val="0"/>
          <w:numId w:val="1002"/>
        </w:numPr>
        <w:pStyle w:val="Compact"/>
      </w:pPr>
      <w:r>
        <w:t xml:space="preserve">The</w:t>
      </w:r>
      <w:r>
        <w:t xml:space="preserve"> </w:t>
      </w:r>
      <w:r>
        <w:t xml:space="preserve">Mathematician</w:t>
      </w:r>
      <w:r>
        <w:t xml:space="preserve"> </w:t>
      </w:r>
      <w:r>
        <w:t xml:space="preserve">engaged under this agreement shall comply with all applicable labour regulations of the Republic of Uzbekistan, including the Labour Code and relevant Ministry of Higher Education directives.</w:t>
      </w:r>
    </w:p>
    <w:p>
      <w:pPr>
        <w:numPr>
          <w:ilvl w:val="0"/>
          <w:numId w:val="1002"/>
        </w:numPr>
        <w:pStyle w:val="Compact"/>
      </w:pPr>
      <w:r>
        <w:t xml:space="preserve">Intellectual property generated during the course of the engagement shall be jointly owned by the client and the</w:t>
      </w:r>
      <w:r>
        <w:t xml:space="preserve"> </w:t>
      </w:r>
      <w:r>
        <w:t xml:space="preserve">Mathematician</w:t>
      </w:r>
      <w:r>
        <w:t xml:space="preserve">, with specific ownership terms to be defined in a supplementary IP agreement.</w:t>
      </w:r>
    </w:p>
    <w:p>
      <w:pPr>
        <w:numPr>
          <w:ilvl w:val="0"/>
          <w:numId w:val="1002"/>
        </w:numPr>
        <w:pStyle w:val="Compact"/>
      </w:pPr>
      <w:r>
        <w:t xml:space="preserve">Either party may terminate the engagement with a written notice of sixty (60) days. In the event of early termination, a pro-rata settlement of all services rendered up to the termination date shall be applied.</w:t>
      </w:r>
    </w:p>
    <w:p>
      <w:pPr>
        <w:numPr>
          <w:ilvl w:val="0"/>
          <w:numId w:val="1002"/>
        </w:numPr>
        <w:pStyle w:val="Compact"/>
      </w:pPr>
      <w:r>
        <w:t xml:space="preserve">Apex Academic Consulting LLP shall maintain professional indemnity insurance with a minimum coverage of 500,000,000 UZS for the duration of the</w:t>
      </w:r>
      <w:r>
        <w:t xml:space="preserve"> </w:t>
      </w:r>
      <w:r>
        <w:t xml:space="preserve">Mathematician</w:t>
      </w:r>
      <w:r>
        <w:t xml:space="preserve">'s engagement in</w:t>
      </w:r>
      <w:r>
        <w:t xml:space="preserve"> </w:t>
      </w:r>
      <w:r>
        <w:t xml:space="preserve">Uzbekistan Tashkent</w:t>
      </w:r>
      <w:r>
        <w:t xml:space="preserve">.</w:t>
      </w:r>
    </w:p>
    <w:p>
      <w:pPr>
        <w:numPr>
          <w:ilvl w:val="0"/>
          <w:numId w:val="1002"/>
        </w:numPr>
        <w:pStyle w:val="Compact"/>
      </w:pPr>
      <w:r>
        <w:t xml:space="preserve">All disputes arising from this</w:t>
      </w:r>
      <w:r>
        <w:t xml:space="preserve"> </w:t>
      </w:r>
      <w:r>
        <w:t xml:space="preserve">Quotation Estimate</w:t>
      </w:r>
      <w:r>
        <w:t xml:space="preserve"> </w:t>
      </w:r>
      <w:r>
        <w:t xml:space="preserve">and the subsequent contract shall be resolved through arbitration in Tashkent, Uzbekistan, in accordance with the rules of the Tashkent International Arbitration Centre.</w:t>
      </w:r>
    </w:p>
    <w:p>
      <w:pPr>
        <w:numPr>
          <w:ilvl w:val="0"/>
          <w:numId w:val="1002"/>
        </w:numPr>
        <w:pStyle w:val="Compact"/>
      </w:pPr>
      <w:r>
        <w:t xml:space="preserve">The</w:t>
      </w:r>
      <w:r>
        <w:t xml:space="preserve"> </w:t>
      </w:r>
      <w:r>
        <w:t xml:space="preserve">Mathematician</w:t>
      </w:r>
      <w:r>
        <w:t xml:space="preserve"> </w:t>
      </w:r>
      <w:r>
        <w:t xml:space="preserve">shall be required to submit monthly progress reports to the client's research directorate, detailing completed tasks, ongoing activities, and anticipated milestones for the following month.</w:t>
      </w:r>
    </w:p>
    <w:p>
      <w:pPr>
        <w:pStyle w:val="FirstParagraph"/>
      </w:pPr>
      <w:r>
        <w:t xml:space="preserve">5. Acceptance and Authorisation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 engagement of the</w:t>
      </w:r>
      <w:r>
        <w:t xml:space="preserve"> </w:t>
      </w:r>
      <w:r>
        <w:t xml:space="preserve">Mathematician</w:t>
      </w:r>
      <w:r>
        <w:t xml:space="preserve"> </w:t>
      </w:r>
      <w:r>
        <w:t xml:space="preserve">in</w:t>
      </w:r>
      <w:r>
        <w:t xml:space="preserve"> </w:t>
      </w:r>
      <w:r>
        <w:t xml:space="preserve">Uzbekistan Tashkent</w:t>
      </w:r>
      <w:r>
        <w:t xml:space="preserve">. This document, once countersigned by both parties, shall constitute a binding preliminary agreement pending the execution of the full service contract.</w:t>
      </w:r>
    </w:p>
    <w:p>
      <w:pPr>
        <w:pStyle w:val="BodyText"/>
      </w:pPr>
      <w:r>
        <w:rPr>
          <w:bCs/>
          <w:b/>
        </w:rPr>
        <w:t xml:space="preserve">For Apex Academic Consulting LLP</w:t>
      </w:r>
      <w:r>
        <w:br/>
      </w:r>
      <w:r>
        <w:t xml:space="preserve">Name: Dr. Aziz Karimov</w:t>
      </w:r>
      <w:r>
        <w:br/>
      </w:r>
      <w:r>
        <w:t xml:space="preserve">Title: Managing Director</w:t>
      </w:r>
      <w:r>
        <w:br/>
      </w:r>
      <w:r>
        <w:t xml:space="preserve">Date: _______________</w:t>
      </w:r>
    </w:p>
    <w:p>
      <w:pPr>
        <w:pStyle w:val="BodyText"/>
      </w:pPr>
      <w:r>
        <w:rPr>
          <w:bCs/>
          <w:b/>
        </w:rPr>
        <w:t xml:space="preserve">For Tashkent State University of Economics</w:t>
      </w:r>
      <w:r>
        <w:br/>
      </w:r>
      <w:r>
        <w:t xml:space="preserve">Name: Prof. Gulnora Rahimova</w:t>
      </w:r>
      <w:r>
        <w:br/>
      </w:r>
      <w:r>
        <w:t xml:space="preserve">Title: Vice-Rector for Research</w:t>
      </w:r>
      <w:r>
        <w:br/>
      </w:r>
      <w:r>
        <w:t xml:space="preserve">Date: _______________</w:t>
      </w:r>
    </w:p>
    <w:p>
      <w:pPr>
        <w:pStyle w:val="BodyText"/>
      </w:pPr>
      <w:r>
        <w:t xml:space="preserve">Apex Academic Consulting LLP | 42 Amir Temur Avenue, Chilonzor District, Tashkent 100171, Uzbekistan</w:t>
      </w:r>
    </w:p>
    <w:p>
      <w:pPr>
        <w:pStyle w:val="BodyText"/>
      </w:pPr>
      <w:r>
        <w:t xml:space="preserve">Registration No. 100171-2019-4456 | Tax ID: 200171456 | Phone: +998 71 200 45 67 | Email: quotations@apexacademic.uz</w:t>
      </w:r>
    </w:p>
    <w:p>
      <w:pPr>
        <w:pStyle w:val="BodyText"/>
      </w:pPr>
      <w:r>
        <w:t xml:space="preserve">This Quotation Estimate is a confidential document intended solely for the named recipient.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Uzbekistan Tashkent</dc:title>
  <dc:creator/>
  <dc:language>en</dc:language>
  <cp:keywords/>
  <dcterms:created xsi:type="dcterms:W3CDTF">2026-10-10T02:57:33Z</dcterms:created>
  <dcterms:modified xsi:type="dcterms:W3CDTF">2026-10-10T02:57:33Z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