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Mechanical Engineer Services — Colombia, Medellín</w:t>
      </w:r>
    </w:p>
    <w:bookmarkEnd w:id="20"/>
    <w:p>
      <w:pPr>
        <w:pStyle w:val="BodyText"/>
      </w:pPr>
      <w:r>
        <w:rPr>
          <w:bCs/>
          <w:b/>
        </w:rPr>
        <w:t xml:space="preserve">Andes Engineering Solutions S.A.S.</w:t>
      </w:r>
      <w:r>
        <w:br/>
      </w:r>
      <w:r>
        <w:t xml:space="preserve">Calle 43 # 47-20, Of. 501</w:t>
      </w:r>
      <w:r>
        <w:br/>
      </w:r>
      <w:r>
        <w:t xml:space="preserve">El Poblado, Medellín, Antioquia</w:t>
      </w:r>
      <w:r>
        <w:br/>
      </w:r>
      <w:r>
        <w:t xml:space="preserve">Colombia</w:t>
      </w:r>
      <w:r>
        <w:br/>
      </w:r>
      <w:r>
        <w:t xml:space="preserve">NIT: 901.234.567-8</w:t>
      </w:r>
      <w:r>
        <w:br/>
      </w:r>
      <w:r>
        <w:t xml:space="preserve">Tel: +57 (604) 445 6789</w:t>
      </w:r>
      <w:r>
        <w:br/>
      </w:r>
      <w:r>
        <w:t xml:space="preserve">Email: quotes@andesengineering.co</w:t>
      </w:r>
    </w:p>
    <w:p>
      <w:pPr>
        <w:pStyle w:val="BodyText"/>
      </w:pPr>
      <w:r>
        <w:rPr>
          <w:bCs/>
          <w:b/>
        </w:rPr>
        <w:t xml:space="preserve">Quotation Reference:</w:t>
      </w:r>
      <w:r>
        <w:t xml:space="preserve"> </w:t>
      </w:r>
      <w:r>
        <w:t xml:space="preserve">QTE-MED-2025-0847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Prepared By:</w:t>
      </w:r>
      <w:r>
        <w:t xml:space="preserve"> </w:t>
      </w:r>
      <w:r>
        <w:t xml:space="preserve">Ing. Carlos A. Restrepo</w:t>
      </w:r>
    </w:p>
    <w:p>
      <w:pPr>
        <w:pStyle w:val="BodyText"/>
      </w:pPr>
      <w:r>
        <w:rPr>
          <w:bCs/>
          <w:b/>
        </w:rPr>
        <w:t xml:space="preserve">Client:</w:t>
      </w:r>
      <w:r>
        <w:t xml:space="preserve"> </w:t>
      </w:r>
      <w:r>
        <w:t xml:space="preserve">Grupo Industrial Antioqueño S.A.S.</w:t>
      </w:r>
      <w:r>
        <w:t xml:space="preserve"> </w:t>
      </w:r>
      <w:r>
        <w:rPr>
          <w:bCs/>
          <w:b/>
        </w:rPr>
        <w:t xml:space="preserve">Project Location:</w:t>
      </w:r>
      <w:r>
        <w:t xml:space="preserve"> </w:t>
      </w:r>
      <w:r>
        <w:t xml:space="preserve">Medellín, Colombia</w:t>
      </w:r>
      <w:r>
        <w:t xml:space="preserve"> </w:t>
      </w:r>
      <w:r>
        <w:rPr>
          <w:bCs/>
          <w:b/>
        </w:rPr>
        <w:t xml:space="preserve">Service Category:</w:t>
      </w:r>
      <w:r>
        <w:t xml:space="preserve"> </w:t>
      </w:r>
      <w:r>
        <w:t xml:space="preserve">Mechanical Engineering</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Andes Engineering Solutions S.A.S. to Grupo Industrial Antioqueño S.A.S. for the provision of specialized</w:t>
      </w:r>
      <w:r>
        <w:t xml:space="preserve"> </w:t>
      </w:r>
      <w:r>
        <w:t xml:space="preserve">Mechanical Engineer</w:t>
      </w:r>
      <w:r>
        <w:t xml:space="preserve"> </w:t>
      </w:r>
      <w:r>
        <w:t xml:space="preserve">consulting and project execution services to be carried out in</w:t>
      </w:r>
      <w:r>
        <w:t xml:space="preserve"> </w:t>
      </w:r>
      <w:r>
        <w:t xml:space="preserve">Colombia, Medellín</w:t>
      </w:r>
      <w:r>
        <w:t xml:space="preserve">. This document outlines the complete scope of work, professional deliverables, associated costs, payment schedule, and contractual terms governing the engagement. The</w:t>
      </w:r>
      <w:r>
        <w:t xml:space="preserve"> </w:t>
      </w:r>
      <w:r>
        <w:t xml:space="preserve">Mechanical Engineer</w:t>
      </w:r>
      <w:r>
        <w:t xml:space="preserve"> </w:t>
      </w:r>
      <w:r>
        <w:t xml:space="preserve">services described herein are tailored to the specific industrial requirements of the client's manufacturing facility located in the Medellín metropolitan area, ensuring compliance with Colombian national standards (NTC), local Antioquia regulations, and international engineering best practices.</w:t>
      </w:r>
    </w:p>
    <w:bookmarkEnd w:id="21"/>
    <w:bookmarkStart w:id="22" w:name="X186501c9fece8dfb016edb870cb19741397e9ab"/>
    <w:p>
      <w:pPr>
        <w:pStyle w:val="Heading2"/>
      </w:pPr>
      <w:r>
        <w:t xml:space="preserve">2. Scope of Work — Mechanical Engineer Services in Colombia Medellín</w:t>
      </w:r>
    </w:p>
    <w:p>
      <w:pPr>
        <w:pStyle w:val="FirstParagraph"/>
      </w:pPr>
      <w:r>
        <w:t xml:space="preserve">The</w:t>
      </w:r>
      <w:r>
        <w:t xml:space="preserve"> </w:t>
      </w:r>
      <w:r>
        <w:t xml:space="preserve">Mechanical Engineer</w:t>
      </w:r>
      <w:r>
        <w:t xml:space="preserve"> </w:t>
      </w:r>
      <w:r>
        <w:t xml:space="preserve">assigned to this project will deliver a comprehensive suite of technical services within the</w:t>
      </w:r>
      <w:r>
        <w:t xml:space="preserve"> </w:t>
      </w:r>
      <w:r>
        <w:t xml:space="preserve">Colombia Medellín</w:t>
      </w:r>
      <w:r>
        <w:t xml:space="preserve"> </w:t>
      </w:r>
      <w:r>
        <w:t xml:space="preserve">region. The scope encompasses the following key activities:</w:t>
      </w:r>
    </w:p>
    <w:p>
      <w:pPr>
        <w:numPr>
          <w:ilvl w:val="0"/>
          <w:numId w:val="1001"/>
        </w:numPr>
        <w:pStyle w:val="Compact"/>
      </w:pPr>
      <w:r>
        <w:rPr>
          <w:bCs/>
          <w:b/>
        </w:rPr>
        <w:t xml:space="preserve">Thermal System Design &amp; Optimization:</w:t>
      </w:r>
      <w:r>
        <w:t xml:space="preserve"> </w:t>
      </w:r>
      <w:r>
        <w:t xml:space="preserve">Complete design and performance analysis of the client's HVAC and industrial cooling systems, including heat exchanger sizing, piping layout, and energy efficiency assessments for the plant located in Medellín, Antioquia.</w:t>
      </w:r>
    </w:p>
    <w:p>
      <w:pPr>
        <w:numPr>
          <w:ilvl w:val="0"/>
          <w:numId w:val="1001"/>
        </w:numPr>
        <w:pStyle w:val="Compact"/>
      </w:pPr>
      <w:r>
        <w:rPr>
          <w:bCs/>
          <w:b/>
        </w:rPr>
        <w:t xml:space="preserve">Mechanical Equipment Inspection &amp; Maintenance Planning:</w:t>
      </w:r>
      <w:r>
        <w:t xml:space="preserve"> </w:t>
      </w:r>
      <w:r>
        <w:t xml:space="preserve">A full-condition assessment of all rotating machinery (pumps, compressors, turbines, and gearboxes) currently operating at the facility, with a 24-month preventive maintenance schedule developed by the</w:t>
      </w:r>
      <w:r>
        <w:t xml:space="preserve"> </w:t>
      </w:r>
      <w:r>
        <w:t xml:space="preserve">Mechanical Engineer</w:t>
      </w:r>
      <w:r>
        <w:t xml:space="preserve">.</w:t>
      </w:r>
    </w:p>
    <w:p>
      <w:pPr>
        <w:numPr>
          <w:ilvl w:val="0"/>
          <w:numId w:val="1001"/>
        </w:numPr>
        <w:pStyle w:val="Compact"/>
      </w:pPr>
      <w:r>
        <w:rPr>
          <w:bCs/>
          <w:b/>
        </w:rPr>
        <w:t xml:space="preserve">Structural &amp; Piping Stress Analysis:</w:t>
      </w:r>
      <w:r>
        <w:t xml:space="preserve"> </w:t>
      </w:r>
      <w:r>
        <w:t xml:space="preserve">Finite element analysis (FEA) of critical pressure vessels and process piping networks in accordance with ASME B31.3 and Colombian NTC 5784 standards, performed by the lead</w:t>
      </w:r>
      <w:r>
        <w:t xml:space="preserve"> </w:t>
      </w:r>
      <w:r>
        <w:t xml:space="preserve">Mechanical Engineer</w:t>
      </w:r>
      <w:r>
        <w:t xml:space="preserve"> </w:t>
      </w:r>
      <w:r>
        <w:t xml:space="preserve">and his support team.</w:t>
      </w:r>
    </w:p>
    <w:p>
      <w:pPr>
        <w:numPr>
          <w:ilvl w:val="0"/>
          <w:numId w:val="1001"/>
        </w:numPr>
        <w:pStyle w:val="Compact"/>
      </w:pPr>
      <w:r>
        <w:rPr>
          <w:bCs/>
          <w:b/>
        </w:rPr>
        <w:t xml:space="preserve">Energy Audit &amp; Sustainability Report:</w:t>
      </w:r>
      <w:r>
        <w:t xml:space="preserve"> </w:t>
      </w:r>
      <w:r>
        <w:t xml:space="preserve">A detailed energy consumption audit of the manufacturing line, identifying opportunities for reduction in thermal losses, compressed air leaks, and motor inefficiencies, with a projected ROI analysis for the</w:t>
      </w:r>
      <w:r>
        <w:t xml:space="preserve"> </w:t>
      </w:r>
      <w:r>
        <w:t xml:space="preserve">Colombia Medellín</w:t>
      </w:r>
      <w:r>
        <w:t xml:space="preserve"> </w:t>
      </w:r>
      <w:r>
        <w:t xml:space="preserve">operation.</w:t>
      </w:r>
    </w:p>
    <w:p>
      <w:pPr>
        <w:numPr>
          <w:ilvl w:val="0"/>
          <w:numId w:val="1001"/>
        </w:numPr>
        <w:pStyle w:val="Compact"/>
      </w:pPr>
      <w:r>
        <w:rPr>
          <w:bCs/>
          <w:b/>
        </w:rPr>
        <w:t xml:space="preserve">Regulatory Compliance &amp; Permitting Support:</w:t>
      </w:r>
      <w:r>
        <w:t xml:space="preserve"> </w:t>
      </w:r>
      <w:r>
        <w:t xml:space="preserve">Assistance in obtaining and renewing all necessary mechanical and industrial permits from the Secretaría de Medio Ambiente de Medellín and the Superintendencia de Industria y Comercio, ensuring the</w:t>
      </w:r>
      <w:r>
        <w:t xml:space="preserve"> </w:t>
      </w:r>
      <w:r>
        <w:t xml:space="preserve">Mechanical Engineer</w:t>
      </w:r>
      <w:r>
        <w:t xml:space="preserve"> </w:t>
      </w:r>
      <w:r>
        <w:t xml:space="preserve">deliverables meet all local and national regulatory requirements.</w:t>
      </w:r>
    </w:p>
    <w:p>
      <w:pPr>
        <w:numPr>
          <w:ilvl w:val="0"/>
          <w:numId w:val="1001"/>
        </w:numPr>
        <w:pStyle w:val="Compact"/>
      </w:pPr>
      <w:r>
        <w:rPr>
          <w:bCs/>
          <w:b/>
        </w:rPr>
        <w:t xml:space="preserve">Technical Documentation &amp; Handover:</w:t>
      </w:r>
      <w:r>
        <w:t xml:space="preserve"> </w:t>
      </w:r>
      <w:r>
        <w:t xml:space="preserve">Preparation of as-built drawings, operation and maintenance manuals, and a complete technical dossier in both Spanish and English for the client's records.</w:t>
      </w:r>
    </w:p>
    <w:bookmarkEnd w:id="22"/>
    <w:bookmarkStart w:id="23" w:name="X3f83411c8f82f4a3439899cecd90d300c7e569b"/>
    <w:p>
      <w:pPr>
        <w:pStyle w:val="Heading2"/>
      </w:pPr>
      <w:r>
        <w:t xml:space="preserve">3. Cost Breakdown — Quotation Estimate Line Items</w:t>
      </w:r>
    </w:p>
    <w:p>
      <w:pPr>
        <w:pStyle w:val="FirstParagraph"/>
      </w:pPr>
      <w:r>
        <w:t xml:space="preserve">The following</w:t>
      </w:r>
      <w:r>
        <w:t xml:space="preserve"> </w:t>
      </w:r>
      <w:r>
        <w:t xml:space="preserve">Quotation Estimate</w:t>
      </w:r>
      <w:r>
        <w:t xml:space="preserve"> </w:t>
      </w:r>
      <w:r>
        <w:t xml:space="preserve">presents the itemized costs for all</w:t>
      </w:r>
      <w:r>
        <w:t xml:space="preserve"> </w:t>
      </w:r>
      <w:r>
        <w:t xml:space="preserve">Mechanical Engineer</w:t>
      </w:r>
      <w:r>
        <w:t xml:space="preserve"> </w:t>
      </w:r>
      <w:r>
        <w:t xml:space="preserve">services to be rendered in</w:t>
      </w:r>
      <w:r>
        <w:t xml:space="preserve"> </w:t>
      </w:r>
      <w:r>
        <w:t xml:space="preserve">Colombia, Medellín</w:t>
      </w:r>
      <w:r>
        <w:t xml:space="preserve">. All prices are expressed in Colombian Pesos (COP) and include applicable IVA (19%) as mandated by Colombian tax law.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Mechanical Engineer Service</w:t>
            </w:r>
          </w:p>
        </w:tc>
        <w:tc>
          <w:tcPr/>
          <w:p>
            <w:pPr>
              <w:pStyle w:val="Compact"/>
              <w:jc w:val="left"/>
            </w:pPr>
            <w:r>
              <w:t xml:space="preserve">Duration / 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Thermal System Design &amp; Optimization (Mechanical Engineer lead + 2 support engineers)</w:t>
            </w:r>
          </w:p>
        </w:tc>
        <w:tc>
          <w:tcPr/>
          <w:p>
            <w:pPr>
              <w:pStyle w:val="Compact"/>
              <w:jc w:val="left"/>
            </w:pPr>
            <w:r>
              <w:t xml:space="preserve">45 working days</w:t>
            </w:r>
          </w:p>
        </w:tc>
        <w:tc>
          <w:tcPr/>
          <w:p>
            <w:pPr>
              <w:pStyle w:val="Compact"/>
              <w:jc w:val="left"/>
            </w:pPr>
            <w:r>
              <w:t xml:space="preserve">1,850,000</w:t>
            </w:r>
          </w:p>
        </w:tc>
        <w:tc>
          <w:tcPr/>
          <w:p>
            <w:pPr>
              <w:pStyle w:val="Compact"/>
              <w:jc w:val="left"/>
            </w:pPr>
            <w:r>
              <w:t xml:space="preserve">83,250,000</w:t>
            </w:r>
          </w:p>
        </w:tc>
      </w:tr>
      <w:tr>
        <w:tc>
          <w:tcPr/>
          <w:p>
            <w:pPr>
              <w:pStyle w:val="Compact"/>
              <w:jc w:val="left"/>
            </w:pPr>
            <w:r>
              <w:t xml:space="preserve">02</w:t>
            </w:r>
          </w:p>
        </w:tc>
        <w:tc>
          <w:tcPr/>
          <w:p>
            <w:pPr>
              <w:pStyle w:val="Compact"/>
              <w:jc w:val="left"/>
            </w:pPr>
            <w:r>
              <w:t xml:space="preserve">Mechanical Equipment Inspection &amp; 24-Month Maintenance Plan</w:t>
            </w:r>
          </w:p>
        </w:tc>
        <w:tc>
          <w:tcPr/>
          <w:p>
            <w:pPr>
              <w:pStyle w:val="Compact"/>
              <w:jc w:val="left"/>
            </w:pPr>
            <w:r>
              <w:t xml:space="preserve">20 working days</w:t>
            </w:r>
          </w:p>
        </w:tc>
        <w:tc>
          <w:tcPr/>
          <w:p>
            <w:pPr>
              <w:pStyle w:val="Compact"/>
              <w:jc w:val="left"/>
            </w:pPr>
            <w:r>
              <w:t xml:space="preserve">1,420,000</w:t>
            </w:r>
          </w:p>
        </w:tc>
        <w:tc>
          <w:tcPr/>
          <w:p>
            <w:pPr>
              <w:pStyle w:val="Compact"/>
              <w:jc w:val="left"/>
            </w:pPr>
            <w:r>
              <w:t xml:space="preserve">28,400,000</w:t>
            </w:r>
          </w:p>
        </w:tc>
      </w:tr>
      <w:tr>
        <w:tc>
          <w:tcPr/>
          <w:p>
            <w:pPr>
              <w:pStyle w:val="Compact"/>
              <w:jc w:val="left"/>
            </w:pPr>
            <w:r>
              <w:t xml:space="preserve">03</w:t>
            </w:r>
          </w:p>
        </w:tc>
        <w:tc>
          <w:tcPr/>
          <w:p>
            <w:pPr>
              <w:pStyle w:val="Compact"/>
              <w:jc w:val="left"/>
            </w:pPr>
            <w:r>
              <w:t xml:space="preserve">Structural &amp; Piping Stress Analysis (FEA) — ASME / NTC compliant</w:t>
            </w:r>
          </w:p>
        </w:tc>
        <w:tc>
          <w:tcPr/>
          <w:p>
            <w:pPr>
              <w:pStyle w:val="Compact"/>
              <w:jc w:val="left"/>
            </w:pPr>
            <w:r>
              <w:t xml:space="preserve">30 working days</w:t>
            </w:r>
          </w:p>
        </w:tc>
        <w:tc>
          <w:tcPr/>
          <w:p>
            <w:pPr>
              <w:pStyle w:val="Compact"/>
              <w:jc w:val="left"/>
            </w:pPr>
            <w:r>
              <w:t xml:space="preserve">2,100,000</w:t>
            </w:r>
          </w:p>
        </w:tc>
        <w:tc>
          <w:tcPr/>
          <w:p>
            <w:pPr>
              <w:pStyle w:val="Compact"/>
              <w:jc w:val="left"/>
            </w:pPr>
            <w:r>
              <w:t xml:space="preserve">63,000,000</w:t>
            </w:r>
          </w:p>
        </w:tc>
      </w:tr>
      <w:tr>
        <w:tc>
          <w:tcPr/>
          <w:p>
            <w:pPr>
              <w:pStyle w:val="Compact"/>
              <w:jc w:val="left"/>
            </w:pPr>
            <w:r>
              <w:t xml:space="preserve">04</w:t>
            </w:r>
          </w:p>
        </w:tc>
        <w:tc>
          <w:tcPr/>
          <w:p>
            <w:pPr>
              <w:pStyle w:val="Compact"/>
              <w:jc w:val="left"/>
            </w:pPr>
            <w:r>
              <w:t xml:space="preserve">Energy Audit &amp; Sustainability Report for Medellín facility</w:t>
            </w:r>
          </w:p>
        </w:tc>
        <w:tc>
          <w:tcPr/>
          <w:p>
            <w:pPr>
              <w:pStyle w:val="Compact"/>
              <w:jc w:val="left"/>
            </w:pPr>
            <w:r>
              <w:t xml:space="preserve">15 working days</w:t>
            </w:r>
          </w:p>
        </w:tc>
        <w:tc>
          <w:tcPr/>
          <w:p>
            <w:pPr>
              <w:pStyle w:val="Compact"/>
              <w:jc w:val="left"/>
            </w:pPr>
            <w:r>
              <w:t xml:space="preserve">1,650,000</w:t>
            </w:r>
          </w:p>
        </w:tc>
        <w:tc>
          <w:tcPr/>
          <w:p>
            <w:pPr>
              <w:pStyle w:val="Compact"/>
              <w:jc w:val="left"/>
            </w:pPr>
            <w:r>
              <w:t xml:space="preserve">24,750,000</w:t>
            </w:r>
          </w:p>
        </w:tc>
      </w:tr>
      <w:tr>
        <w:tc>
          <w:tcPr/>
          <w:p>
            <w:pPr>
              <w:pStyle w:val="Compact"/>
              <w:jc w:val="left"/>
            </w:pPr>
            <w:r>
              <w:t xml:space="preserve">05</w:t>
            </w:r>
          </w:p>
        </w:tc>
        <w:tc>
          <w:tcPr/>
          <w:p>
            <w:pPr>
              <w:pStyle w:val="Compact"/>
              <w:jc w:val="left"/>
            </w:pPr>
            <w:r>
              <w:t xml:space="preserve">Regulatory Compliance &amp; Permitting Support (Medellín / Antioquia)</w:t>
            </w:r>
          </w:p>
        </w:tc>
        <w:tc>
          <w:tcPr/>
          <w:p>
            <w:pPr>
              <w:pStyle w:val="Compact"/>
              <w:jc w:val="left"/>
            </w:pPr>
            <w:r>
              <w:t xml:space="preserve">10 working days</w:t>
            </w:r>
          </w:p>
        </w:tc>
        <w:tc>
          <w:tcPr/>
          <w:p>
            <w:pPr>
              <w:pStyle w:val="Compact"/>
              <w:jc w:val="left"/>
            </w:pPr>
            <w:r>
              <w:t xml:space="preserve">1,200,000</w:t>
            </w:r>
          </w:p>
        </w:tc>
        <w:tc>
          <w:tcPr/>
          <w:p>
            <w:pPr>
              <w:pStyle w:val="Compact"/>
              <w:jc w:val="left"/>
            </w:pPr>
            <w:r>
              <w:t xml:space="preserve">12,000,000</w:t>
            </w:r>
          </w:p>
        </w:tc>
      </w:tr>
      <w:tr>
        <w:tc>
          <w:tcPr/>
          <w:p>
            <w:pPr>
              <w:pStyle w:val="Compact"/>
              <w:jc w:val="left"/>
            </w:pPr>
            <w:r>
              <w:t xml:space="preserve">06</w:t>
            </w:r>
          </w:p>
        </w:tc>
        <w:tc>
          <w:tcPr/>
          <w:p>
            <w:pPr>
              <w:pStyle w:val="Compact"/>
              <w:jc w:val="left"/>
            </w:pPr>
            <w:r>
              <w:t xml:space="preserve">Technical Documentation, As-Built Drawings &amp; Handover Package</w:t>
            </w:r>
          </w:p>
        </w:tc>
        <w:tc>
          <w:tcPr/>
          <w:p>
            <w:pPr>
              <w:pStyle w:val="Compact"/>
              <w:jc w:val="left"/>
            </w:pPr>
            <w:r>
              <w:t xml:space="preserve">10 working days</w:t>
            </w:r>
          </w:p>
        </w:tc>
        <w:tc>
          <w:tcPr/>
          <w:p>
            <w:pPr>
              <w:pStyle w:val="Compact"/>
              <w:jc w:val="left"/>
            </w:pPr>
            <w:r>
              <w:t xml:space="preserve">980,000</w:t>
            </w:r>
          </w:p>
        </w:tc>
        <w:tc>
          <w:tcPr/>
          <w:p>
            <w:pPr>
              <w:pStyle w:val="Compact"/>
              <w:jc w:val="left"/>
            </w:pPr>
            <w:r>
              <w:t xml:space="preserve">9,800,000</w:t>
            </w:r>
          </w:p>
        </w:tc>
      </w:tr>
      <w:tr>
        <w:tc>
          <w:tcPr/>
          <w:p>
            <w:pPr>
              <w:pStyle w:val="Compact"/>
              <w:jc w:val="left"/>
            </w:pPr>
            <w:r>
              <w:t xml:space="preserve">07</w:t>
            </w:r>
          </w:p>
        </w:tc>
        <w:tc>
          <w:tcPr/>
          <w:p>
            <w:pPr>
              <w:pStyle w:val="Compact"/>
              <w:jc w:val="left"/>
            </w:pPr>
            <w:r>
              <w:t xml:space="preserve">On-site travel, lodging, and per diem within Colombia Medellín metro area</w:t>
            </w:r>
          </w:p>
        </w:tc>
        <w:tc>
          <w:tcPr/>
          <w:p>
            <w:pPr>
              <w:pStyle w:val="Compact"/>
              <w:jc w:val="left"/>
            </w:pPr>
            <w:r>
              <w:t xml:space="preserve">130 working days</w:t>
            </w:r>
          </w:p>
        </w:tc>
        <w:tc>
          <w:tcPr/>
          <w:p>
            <w:pPr>
              <w:pStyle w:val="Compact"/>
              <w:jc w:val="left"/>
            </w:pPr>
            <w:r>
              <w:t xml:space="preserve">320,000</w:t>
            </w:r>
          </w:p>
        </w:tc>
        <w:tc>
          <w:tcPr/>
          <w:p>
            <w:pPr>
              <w:pStyle w:val="Compact"/>
              <w:jc w:val="left"/>
            </w:pPr>
            <w:r>
              <w:t xml:space="preserve">41,600,000</w:t>
            </w:r>
          </w:p>
        </w:tc>
      </w:tr>
      <w:tr>
        <w:tc>
          <w:tcPr/>
          <w:p>
            <w:pPr>
              <w:pStyle w:val="Compact"/>
              <w:jc w:val="left"/>
            </w:pPr>
            <w:r>
              <w:t xml:space="preserve">08</w:t>
            </w:r>
          </w:p>
        </w:tc>
        <w:tc>
          <w:tcPr/>
          <w:p>
            <w:pPr>
              <w:pStyle w:val="Compact"/>
              <w:jc w:val="left"/>
            </w:pPr>
            <w:r>
              <w:t xml:space="preserve">Specialized software licenses (ANSYS, AutoCAD Mechanical, HTRI) &amp; calibration equipment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18,500,000</w:t>
            </w:r>
          </w:p>
        </w:tc>
      </w:tr>
      <w:tr>
        <w:tc>
          <w:tcPr>
            <w:gridSpan w:val="4"/>
          </w:tcPr>
          <w:p>
            <w:pPr>
              <w:pStyle w:val="Compact"/>
              <w:jc w:val="left"/>
            </w:pPr>
            <w:r>
              <w:t xml:space="preserve">Subtotal (before IVA)</w:t>
            </w:r>
          </w:p>
        </w:tc>
        <w:tc>
          <w:tcPr/>
          <w:p>
            <w:pPr>
              <w:pStyle w:val="Compact"/>
              <w:jc w:val="left"/>
            </w:pPr>
            <w:r>
              <w:t xml:space="preserve">281,300,000</w:t>
            </w:r>
          </w:p>
        </w:tc>
      </w:tr>
      <w:tr>
        <w:tc>
          <w:tcPr>
            <w:gridSpan w:val="4"/>
          </w:tcPr>
          <w:p>
            <w:pPr>
              <w:pStyle w:val="Compact"/>
              <w:jc w:val="left"/>
            </w:pPr>
            <w:r>
              <w:t xml:space="preserve">IVA (19%) — Colombian Value Added Tax</w:t>
            </w:r>
          </w:p>
        </w:tc>
        <w:tc>
          <w:tcPr/>
          <w:p>
            <w:pPr>
              <w:pStyle w:val="Compact"/>
              <w:jc w:val="left"/>
            </w:pPr>
            <w:r>
              <w:t xml:space="preserve">53,447,000</w:t>
            </w:r>
          </w:p>
        </w:tc>
      </w:tr>
      <w:tr>
        <w:tc>
          <w:tcPr>
            <w:gridSpan w:val="4"/>
          </w:tcPr>
          <w:p>
            <w:pPr>
              <w:pStyle w:val="Compact"/>
              <w:jc w:val="left"/>
            </w:pPr>
            <w:r>
              <w:rPr>
                <w:bCs/>
                <w:b/>
              </w:rPr>
              <w:t xml:space="preserve">TOTAL QUOTATION ESTIMATE (COP)</w:t>
            </w:r>
          </w:p>
        </w:tc>
        <w:tc>
          <w:tcPr/>
          <w:p>
            <w:pPr>
              <w:pStyle w:val="Compact"/>
              <w:jc w:val="left"/>
            </w:pPr>
            <w:r>
              <w:rPr>
                <w:bCs/>
                <w:b/>
              </w:rPr>
              <w:t xml:space="preserve">334,747,000</w:t>
            </w:r>
          </w:p>
        </w:tc>
      </w:tr>
    </w:tbl>
    <w:bookmarkEnd w:id="23"/>
    <w:bookmarkStart w:id="24" w:name="payment-schedule"/>
    <w:p>
      <w:pPr>
        <w:pStyle w:val="Heading2"/>
      </w:pPr>
      <w:r>
        <w:t xml:space="preserve">4. Payment Schedule</w:t>
      </w:r>
    </w:p>
    <w:p>
      <w:pPr>
        <w:pStyle w:val="FirstParagraph"/>
      </w:pPr>
      <w:r>
        <w:t xml:space="preserve">In accordance with the terms of this</w:t>
      </w:r>
      <w:r>
        <w:t xml:space="preserve"> </w:t>
      </w:r>
      <w:r>
        <w:t xml:space="preserve">Quotation Estimate</w:t>
      </w:r>
      <w:r>
        <w:t xml:space="preserve">, payment for the</w:t>
      </w:r>
      <w:r>
        <w:t xml:space="preserve"> </w:t>
      </w:r>
      <w:r>
        <w:t xml:space="preserve">Mechanical Engineer</w:t>
      </w:r>
      <w:r>
        <w:t xml:space="preserve"> </w:t>
      </w:r>
      <w:r>
        <w:t xml:space="preserve">services in</w:t>
      </w:r>
      <w:r>
        <w:t xml:space="preserve"> </w:t>
      </w:r>
      <w:r>
        <w:t xml:space="preserve">Colombia, Medellín</w:t>
      </w:r>
      <w:r>
        <w:t xml:space="preserve"> </w:t>
      </w:r>
      <w:r>
        <w:t xml:space="preserve">shall be made as follows:</w:t>
      </w:r>
    </w:p>
    <w:p>
      <w:pPr>
        <w:numPr>
          <w:ilvl w:val="0"/>
          <w:numId w:val="1002"/>
        </w:numPr>
        <w:pStyle w:val="Compact"/>
      </w:pPr>
      <w:r>
        <w:rPr>
          <w:bCs/>
          <w:b/>
        </w:rPr>
        <w:t xml:space="preserve">30% advance payment</w:t>
      </w:r>
      <w:r>
        <w:t xml:space="preserve"> </w:t>
      </w:r>
      <w:r>
        <w:t xml:space="preserve">(COP 100,424,100) upon signing of the service contract and issuance of the corresponding factura electrónica.</w:t>
      </w:r>
    </w:p>
    <w:p>
      <w:pPr>
        <w:numPr>
          <w:ilvl w:val="0"/>
          <w:numId w:val="1002"/>
        </w:numPr>
        <w:pStyle w:val="Compact"/>
      </w:pPr>
      <w:r>
        <w:rPr>
          <w:bCs/>
          <w:b/>
        </w:rPr>
        <w:t xml:space="preserve">40% progress payment</w:t>
      </w:r>
      <w:r>
        <w:t xml:space="preserve"> </w:t>
      </w:r>
      <w:r>
        <w:t xml:space="preserve">(COP 133,898,800) upon completion and client approval of the Thermal System Design, Equipment Inspection, and Stress Analysis deliverables (Items 01–03).</w:t>
      </w:r>
    </w:p>
    <w:p>
      <w:pPr>
        <w:numPr>
          <w:ilvl w:val="0"/>
          <w:numId w:val="1002"/>
        </w:numPr>
        <w:pStyle w:val="Compact"/>
      </w:pPr>
      <w:r>
        <w:rPr>
          <w:bCs/>
          <w:b/>
        </w:rPr>
        <w:t xml:space="preserve">30% final payment</w:t>
      </w:r>
      <w:r>
        <w:t xml:space="preserve"> </w:t>
      </w:r>
      <w:r>
        <w:t xml:space="preserve">(COP 100,424,100) upon delivery of the complete technical documentation package, final energy audit report, and successful handover meeting in Medellín.</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this period, prices may be adjusted to reflect changes in the Colombian Consumer Price Index (IPC) published by DANE.</w:t>
      </w:r>
    </w:p>
    <w:p>
      <w:pPr>
        <w:numPr>
          <w:ilvl w:val="0"/>
          <w:numId w:val="1003"/>
        </w:numPr>
        <w:pStyle w:val="Compact"/>
      </w:pPr>
      <w:r>
        <w:t xml:space="preserve">All</w:t>
      </w:r>
      <w:r>
        <w:t xml:space="preserve"> </w:t>
      </w:r>
      <w:r>
        <w:t xml:space="preserve">Mechanical Engineer</w:t>
      </w:r>
      <w:r>
        <w:t xml:space="preserve"> </w:t>
      </w:r>
      <w:r>
        <w:t xml:space="preserve">personnel assigned to this project in</w:t>
      </w:r>
      <w:r>
        <w:t xml:space="preserve"> </w:t>
      </w:r>
      <w:r>
        <w:t xml:space="preserve">Colombia, Medellín</w:t>
      </w:r>
      <w:r>
        <w:t xml:space="preserve"> </w:t>
      </w:r>
      <w:r>
        <w:t xml:space="preserve">hold valid professional registration (Cédula Profesional) with the Colegio Colombiano de Ingenieros Mecánicos (CCIM) and the corresponding Antioquia chapter.</w:t>
      </w:r>
    </w:p>
    <w:p>
      <w:pPr>
        <w:numPr>
          <w:ilvl w:val="0"/>
          <w:numId w:val="1003"/>
        </w:numPr>
        <w:pStyle w:val="Compact"/>
      </w:pPr>
      <w:r>
        <w:t xml:space="preserve">The</w:t>
      </w:r>
      <w:r>
        <w:t xml:space="preserve"> </w:t>
      </w:r>
      <w:r>
        <w:t xml:space="preserve">Mechanical Engineer</w:t>
      </w:r>
      <w:r>
        <w:t xml:space="preserve"> </w:t>
      </w:r>
      <w:r>
        <w:t xml:space="preserve">team shall comply with all occupational health and safety regulations (SG-SST) applicable to industrial sites in Medellín, Antioquia, as established by Decreto 1072 de 2015.</w:t>
      </w:r>
    </w:p>
    <w:p>
      <w:pPr>
        <w:numPr>
          <w:ilvl w:val="0"/>
          <w:numId w:val="1003"/>
        </w:numPr>
        <w:pStyle w:val="Compact"/>
      </w:pPr>
      <w:r>
        <w:t xml:space="preserve">Intellectual property of all designs, analyses, and reports produced under this</w:t>
      </w:r>
      <w:r>
        <w:t xml:space="preserve"> </w:t>
      </w:r>
      <w:r>
        <w:t xml:space="preserve">Quotation Estimate</w:t>
      </w:r>
      <w:r>
        <w:t xml:space="preserve"> </w:t>
      </w:r>
      <w:r>
        <w:t xml:space="preserve">shall transfer to the client upon full payment.</w:t>
      </w:r>
    </w:p>
    <w:p>
      <w:pPr>
        <w:numPr>
          <w:ilvl w:val="0"/>
          <w:numId w:val="1003"/>
        </w:numPr>
        <w:pStyle w:val="Compact"/>
      </w:pPr>
      <w:r>
        <w:t xml:space="preserve">Any scope changes or additional</w:t>
      </w:r>
      <w:r>
        <w:t xml:space="preserve"> </w:t>
      </w:r>
      <w:r>
        <w:t xml:space="preserve">Mechanical Engineer</w:t>
      </w:r>
      <w:r>
        <w:t xml:space="preserve"> </w:t>
      </w:r>
      <w:r>
        <w:t xml:space="preserve">services beyond the original scope must be documented in a formal addendum to this</w:t>
      </w:r>
      <w:r>
        <w:t xml:space="preserve"> </w:t>
      </w:r>
      <w:r>
        <w:t xml:space="preserve">Quotation Estimate</w:t>
      </w:r>
      <w:r>
        <w:t xml:space="preserve"> </w:t>
      </w:r>
      <w:r>
        <w:t xml:space="preserve">and approved in writing by both parties before execution.</w:t>
      </w:r>
    </w:p>
    <w:p>
      <w:pPr>
        <w:numPr>
          <w:ilvl w:val="0"/>
          <w:numId w:val="1003"/>
        </w:numPr>
        <w:pStyle w:val="Compact"/>
      </w:pPr>
      <w:r>
        <w:t xml:space="preserve">Disputes arising from this engagement shall be resolved through arbitration in Medellín, Colombia, in accordance with the rules of the Cámara de Comercio de Medellín.</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bookmarkEnd w:id="25"/>
    <w:bookmarkStart w:id="26" w:name="acceptance-signatures"/>
    <w:p>
      <w:pPr>
        <w:pStyle w:val="Heading2"/>
      </w:pPr>
      <w:r>
        <w:t xml:space="preserve">6. Acceptance &amp; Signatures</w:t>
      </w:r>
    </w:p>
    <w:p>
      <w:pPr>
        <w:pStyle w:val="FirstParagraph"/>
      </w:pPr>
      <w:r>
        <w:t xml:space="preserve">By signing below, both parties acknowledge and accept the terms, scope, and pricing outlined in this</w:t>
      </w:r>
      <w:r>
        <w:t xml:space="preserve"> </w:t>
      </w:r>
      <w:r>
        <w:t xml:space="preserve">Quotation Estimate</w:t>
      </w:r>
      <w:r>
        <w:t xml:space="preserve"> </w:t>
      </w:r>
      <w:r>
        <w:t xml:space="preserve">for</w:t>
      </w:r>
      <w:r>
        <w:t xml:space="preserve"> </w:t>
      </w:r>
      <w:r>
        <w:t xml:space="preserve">Mechanical Engineer</w:t>
      </w:r>
      <w:r>
        <w:t xml:space="preserve"> </w:t>
      </w:r>
      <w:r>
        <w:t xml:space="preserve">services to be performed in</w:t>
      </w:r>
      <w:r>
        <w:t xml:space="preserve"> </w:t>
      </w:r>
      <w:r>
        <w:t xml:space="preserve">Colombia, Medellín</w:t>
      </w:r>
      <w:r>
        <w:t xml:space="preserve">.</w:t>
      </w:r>
    </w:p>
    <w:p>
      <w:pPr>
        <w:pStyle w:val="BodyText"/>
      </w:pPr>
      <w:r>
        <w:rPr>
          <w:bCs/>
          <w:b/>
        </w:rPr>
        <w:t xml:space="preserve">For Andes Engineering Solutions S.A.S.</w:t>
      </w:r>
      <w:r>
        <w:br/>
      </w:r>
      <w:r>
        <w:t xml:space="preserve">Ing. Carlos A. Restrepo</w:t>
      </w:r>
      <w:r>
        <w:br/>
      </w:r>
      <w:r>
        <w:t xml:space="preserve">Lead Mechanical Engineer</w:t>
      </w:r>
      <w:r>
        <w:br/>
      </w:r>
      <w:r>
        <w:t xml:space="preserve">Cédula Profesional CCIM # 45.892</w:t>
      </w:r>
      <w:r>
        <w:br/>
      </w:r>
      <w:r>
        <w:t xml:space="preserve">Date: _______________</w:t>
      </w:r>
    </w:p>
    <w:p>
      <w:pPr>
        <w:pStyle w:val="BodyText"/>
      </w:pPr>
      <w:r>
        <w:rPr>
          <w:bCs/>
          <w:b/>
        </w:rPr>
        <w:t xml:space="preserve">For Grupo Industrial Antioqueño S.A.S.</w:t>
      </w:r>
      <w:r>
        <w:br/>
      </w:r>
      <w:r>
        <w:t xml:space="preserve">_______________________________</w:t>
      </w:r>
      <w:r>
        <w:br/>
      </w:r>
      <w:r>
        <w:t xml:space="preserve">Name &amp; Title</w:t>
      </w:r>
      <w:r>
        <w:br/>
      </w:r>
      <w:r>
        <w:t xml:space="preserve">NIT: _______________</w:t>
      </w:r>
      <w:r>
        <w:br/>
      </w:r>
      <w:r>
        <w:t xml:space="preserve">Date: _______________</w:t>
      </w:r>
    </w:p>
    <w:p>
      <w:pPr>
        <w:pStyle w:val="BodyText"/>
      </w:pPr>
      <w:r>
        <w:t xml:space="preserve">This Quotation Estimate (Ref. QTE-MED-2025-0847) was prepared by Andes Engineering Solutions S.A.S. for Mechanical Engineer services in Colombia, Medellín.</w:t>
      </w:r>
      <w:r>
        <w:t xml:space="preserve"> </w:t>
      </w:r>
      <w:r>
        <w:t xml:space="preserve">© 2025 Andes Engineering Solutions S.A.S. All rights reserved. | Calle 43 # 47-20, El Poblado, Medellín, Antioquia, Colombia.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Colombia Medellín</dc:title>
  <dc:creator/>
  <dc:language>en</dc:language>
  <cp:keywords/>
  <dcterms:created xsi:type="dcterms:W3CDTF">2026-10-10T02:57:34Z</dcterms:created>
  <dcterms:modified xsi:type="dcterms:W3CDTF">2026-10-10T02:57:34Z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