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technomech-engineering-gmbh"/>
    <w:p>
      <w:pPr>
        <w:pStyle w:val="Heading1"/>
      </w:pPr>
      <w:r>
        <w:t xml:space="preserve">TechnoMech Engineering GmbH</w:t>
      </w:r>
    </w:p>
    <w:p>
      <w:pPr>
        <w:pStyle w:val="FirstParagraph"/>
      </w:pPr>
      <w:r>
        <w:t xml:space="preserve">Invalidenstraße 112, 10115 Berlin, Germany</w:t>
      </w:r>
    </w:p>
    <w:p>
      <w:pPr>
        <w:pStyle w:val="BodyText"/>
      </w:pPr>
      <w:r>
        <w:t xml:space="preserve">Phone: +49 30 4455 6677 | Email: quotes@technomech-berlin.de</w:t>
      </w:r>
    </w:p>
    <w:p>
      <w:pPr>
        <w:pStyle w:val="BodyText"/>
      </w:pPr>
      <w:r>
        <w:t xml:space="preserve">USt-IdNr: DE 312 456 789 | HRB 123456 B, Amtsgericht Berlin-Charlottenburg</w:t>
      </w:r>
    </w:p>
    <w:bookmarkEnd w:id="20"/>
    <w:p>
      <w:pPr>
        <w:pStyle w:val="BodyText"/>
      </w:pPr>
      <w:r>
        <w:rPr>
          <w:bCs/>
          <w:b/>
        </w:rPr>
        <w:t xml:space="preserve">Quotation Estimate No.:</w:t>
      </w:r>
      <w:r>
        <w:t xml:space="preserve"> </w:t>
      </w:r>
      <w:r>
        <w:t xml:space="preserve">QTE-2025-BER-0487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bookmarkStart w:id="21" w:name="quotation-estimate"/>
    <w:p>
      <w:pPr>
        <w:pStyle w:val="Heading2"/>
      </w:pPr>
      <w:r>
        <w:t xml:space="preserve">QUOTATION ESTIMATE</w:t>
      </w:r>
    </w:p>
    <w:p>
      <w:pPr>
        <w:pStyle w:val="FirstParagraph"/>
      </w:pPr>
      <w:r>
        <w:t xml:space="preserve">Professional Mechanical Engineer Services — Germany Berlin</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Dr. Markus Weber, Managing Director, Industriepark Berlin GmbH, Karl-Marx-Straße 45, 10179 Berlin, Germany</w:t>
            </w:r>
          </w:p>
        </w:tc>
      </w:tr>
      <w:tr>
        <w:tc>
          <w:tcPr/>
          <w:p>
            <w:pPr>
              <w:pStyle w:val="Compact"/>
              <w:jc w:val="left"/>
            </w:pPr>
            <w:r>
              <w:t xml:space="preserve">Project Reference:</w:t>
            </w:r>
          </w:p>
        </w:tc>
        <w:tc>
          <w:tcPr/>
          <w:p>
            <w:pPr>
              <w:pStyle w:val="Compact"/>
              <w:jc w:val="left"/>
            </w:pPr>
            <w:r>
              <w:t xml:space="preserve">Industrial Automation System Design &amp; Commissioning — Plant Sector B, Berlin-Spandau</w:t>
            </w:r>
          </w:p>
        </w:tc>
      </w:tr>
      <w:tr>
        <w:tc>
          <w:tcPr/>
          <w:p>
            <w:pPr>
              <w:pStyle w:val="Compact"/>
              <w:jc w:val="left"/>
            </w:pPr>
            <w:r>
              <w:t xml:space="preserve">Service Category:</w:t>
            </w:r>
          </w:p>
        </w:tc>
        <w:tc>
          <w:tcPr/>
          <w:p>
            <w:pPr>
              <w:pStyle w:val="Compact"/>
              <w:jc w:val="left"/>
            </w:pPr>
            <w:r>
              <w:t xml:space="preserve">Consulting Mechanical Engineer — Full-Scope Engineering Support</w:t>
            </w:r>
          </w:p>
        </w:tc>
      </w:tr>
      <w:tr>
        <w:tc>
          <w:tcPr/>
          <w:p>
            <w:pPr>
              <w:pStyle w:val="Compact"/>
              <w:jc w:val="left"/>
            </w:pPr>
            <w:r>
              <w:t xml:space="preserve">Location of Work:</w:t>
            </w:r>
          </w:p>
        </w:tc>
        <w:tc>
          <w:tcPr/>
          <w:p>
            <w:pPr>
              <w:pStyle w:val="Compact"/>
              <w:jc w:val="left"/>
            </w:pPr>
            <w:r>
              <w:t xml:space="preserve">Germany Berlin (on-site and remote hybrid engagement)</w:t>
            </w:r>
          </w:p>
        </w:tc>
      </w:tr>
      <w:tr>
        <w:tc>
          <w:tcPr/>
          <w:p>
            <w:pPr>
              <w:pStyle w:val="Compact"/>
              <w:jc w:val="left"/>
            </w:pPr>
            <w:r>
              <w:t xml:space="preserve">Currency:</w:t>
            </w:r>
          </w:p>
        </w:tc>
        <w:tc>
          <w:tcPr/>
          <w:p>
            <w:pPr>
              <w:pStyle w:val="Compact"/>
              <w:jc w:val="left"/>
            </w:pPr>
            <w:r>
              <w:t xml:space="preserve">Euro (EUR) — all figures inclusive of 19% German VAT (Mehrwertsteuer)</w:t>
            </w:r>
          </w:p>
        </w:tc>
      </w:tr>
    </w:tbl>
    <w:bookmarkStart w:id="22"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TechnoMech Engineering GmbH to provide a comprehensive, itemised cost breakdown for the engagement of a senior</w:t>
      </w:r>
      <w:r>
        <w:t xml:space="preserve"> </w:t>
      </w:r>
      <w:r>
        <w:t xml:space="preserve">Mechanical Engineer</w:t>
      </w:r>
      <w:r>
        <w:t xml:space="preserve"> </w:t>
      </w:r>
      <w:r>
        <w:t xml:space="preserve">to deliver design, analysis, and commissioning services for the industrial automation project located in</w:t>
      </w:r>
      <w:r>
        <w:t xml:space="preserve"> </w:t>
      </w:r>
      <w:r>
        <w:t xml:space="preserve">Germany Berlin</w:t>
      </w:r>
      <w:r>
        <w:t xml:space="preserve">. This document serves as a formal, non-binding estimate of the professional fees, travel expenses, and ancillary costs associated with the scope of work described herein. The client is invited to review this Quotation Estimate and confirm acceptance within the validity period stated above.</w:t>
      </w:r>
    </w:p>
    <w:bookmarkEnd w:id="22"/>
    <w:bookmarkStart w:id="23" w:name="Xe9ed0b0e060278371cc850bea458a4d6201a1ed"/>
    <w:p>
      <w:pPr>
        <w:pStyle w:val="Heading3"/>
      </w:pPr>
      <w:r>
        <w:t xml:space="preserve">2. Scope of Work — Mechanical Engineer Services in Germany Berlin</w:t>
      </w:r>
    </w:p>
    <w:p>
      <w:pPr>
        <w:pStyle w:val="FirstParagraph"/>
      </w:pPr>
      <w:r>
        <w:t xml:space="preserve">The contracted</w:t>
      </w:r>
      <w:r>
        <w:t xml:space="preserve"> </w:t>
      </w:r>
      <w:r>
        <w:t xml:space="preserve">Mechanical Engineer</w:t>
      </w:r>
      <w:r>
        <w:t xml:space="preserve"> </w:t>
      </w:r>
      <w:r>
        <w:t xml:space="preserve">shall perform the following duties and deliverables, all conducted in accordance with German engineering standards (DIN, VDI, and EN norms) and applicable regulations of the state of Berlin:</w:t>
      </w:r>
    </w:p>
    <w:p>
      <w:pPr>
        <w:numPr>
          <w:ilvl w:val="0"/>
          <w:numId w:val="1001"/>
        </w:numPr>
        <w:pStyle w:val="Compact"/>
      </w:pPr>
      <w:r>
        <w:rPr>
          <w:bCs/>
          <w:b/>
        </w:rPr>
        <w:t xml:space="preserve">Conceptual Design &amp; Feasibility Study:</w:t>
      </w:r>
      <w:r>
        <w:t xml:space="preserve"> </w:t>
      </w:r>
      <w:r>
        <w:t xml:space="preserve">Development of preliminary mechanical system layouts, component selection, and feasibility assessments for the new production line in the Berlin-Spandau industrial zone. This includes CAD modelling (SolidWorks / CATIA) and preliminary stress analysis.</w:t>
      </w:r>
    </w:p>
    <w:p>
      <w:pPr>
        <w:numPr>
          <w:ilvl w:val="0"/>
          <w:numId w:val="1001"/>
        </w:numPr>
        <w:pStyle w:val="Compact"/>
      </w:pPr>
      <w:r>
        <w:rPr>
          <w:bCs/>
          <w:b/>
        </w:rPr>
        <w:t xml:space="preserve">Detailed Engineering &amp; Documentation:</w:t>
      </w:r>
      <w:r>
        <w:t xml:space="preserve"> </w:t>
      </w:r>
      <w:r>
        <w:t xml:space="preserve">Production of full technical drawings, Bill of Materials (BOM), and engineering specifications compliant with DIN ISO 128 and VDI 2221 guidelines. All documentation shall be delivered in both German and English to satisfy local regulatory requirements in Germany Berlin.</w:t>
      </w:r>
    </w:p>
    <w:p>
      <w:pPr>
        <w:numPr>
          <w:ilvl w:val="0"/>
          <w:numId w:val="1001"/>
        </w:numPr>
        <w:pStyle w:val="Compact"/>
      </w:pPr>
      <w:r>
        <w:rPr>
          <w:bCs/>
          <w:b/>
        </w:rPr>
        <w:t xml:space="preserve">Thermal &amp; Structural Analysis:</w:t>
      </w:r>
      <w:r>
        <w:t xml:space="preserve"> </w:t>
      </w:r>
      <w:r>
        <w:t xml:space="preserve">Finite Element Analysis (FEA) of critical load-bearing structures, thermal management design for high-temperature processing units, and vibration analysis for rotating machinery. Results to be validated against German statutory safety requirements (ArbSchG, BetrSichV).</w:t>
      </w:r>
    </w:p>
    <w:p>
      <w:pPr>
        <w:numPr>
          <w:ilvl w:val="0"/>
          <w:numId w:val="1001"/>
        </w:numPr>
        <w:pStyle w:val="Compact"/>
      </w:pPr>
      <w:r>
        <w:rPr>
          <w:bCs/>
          <w:b/>
        </w:rPr>
        <w:t xml:space="preserve">On-Site Commissioning &amp; Testing:</w:t>
      </w:r>
      <w:r>
        <w:t xml:space="preserve"> </w:t>
      </w:r>
      <w:r>
        <w:t xml:space="preserve">Minimum of 12 working days of on-site presence at the client's facility in Germany Berlin for equipment installation oversight, functional testing, performance verification, and handover documentation. The Mechanical Engineer shall coordinate with local electrical and controls teams.</w:t>
      </w:r>
    </w:p>
    <w:p>
      <w:pPr>
        <w:numPr>
          <w:ilvl w:val="0"/>
          <w:numId w:val="1001"/>
        </w:numPr>
        <w:pStyle w:val="Compact"/>
      </w:pPr>
      <w:r>
        <w:rPr>
          <w:bCs/>
          <w:b/>
        </w:rPr>
        <w:t xml:space="preserve">Regulatory Compliance &amp; Certification Support:</w:t>
      </w:r>
      <w:r>
        <w:t xml:space="preserve"> </w:t>
      </w:r>
      <w:r>
        <w:t xml:space="preserve">Preparation of technical files for CE marking, support with TÜV inspection scheduling, and liaison with the Berliner Landesamt für Arbeitsschutz, Gesundheitsschutz und Technische Sicherheit (LAGeSo) as required.</w:t>
      </w:r>
    </w:p>
    <w:p>
      <w:pPr>
        <w:numPr>
          <w:ilvl w:val="0"/>
          <w:numId w:val="1001"/>
        </w:numPr>
        <w:pStyle w:val="Compact"/>
      </w:pPr>
      <w:r>
        <w:rPr>
          <w:bCs/>
          <w:b/>
        </w:rPr>
        <w:t xml:space="preserve">Post-Commissioning Support:</w:t>
      </w:r>
      <w:r>
        <w:t xml:space="preserve"> </w:t>
      </w:r>
      <w:r>
        <w:t xml:space="preserve">A 30-day warranty period following final acceptance, during which the Mechanical Engineer shall be available for remote troubleshooting and up to two additional on-site visits in Germany Berlin at no additional charge.</w:t>
      </w:r>
    </w:p>
    <w:bookmarkEnd w:id="23"/>
    <w:bookmarkStart w:id="24" w:name="itemised-cost-breakdown"/>
    <w:p>
      <w:pPr>
        <w:pStyle w:val="Heading3"/>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Conceptual Design &amp; Feasibility Study (Mechanical Engineer, Senior Level)</w:t>
            </w:r>
          </w:p>
        </w:tc>
        <w:tc>
          <w:tcPr/>
          <w:p>
            <w:pPr>
              <w:pStyle w:val="Compact"/>
              <w:jc w:val="left"/>
            </w:pPr>
            <w:r>
              <w:t xml:space="preserve">20 days</w:t>
            </w:r>
          </w:p>
        </w:tc>
        <w:tc>
          <w:tcPr/>
          <w:p>
            <w:pPr>
              <w:pStyle w:val="Compact"/>
              <w:jc w:val="left"/>
            </w:pPr>
            <w:r>
              <w:t xml:space="preserve">€ 145.00 / hr × 8 hrs</w:t>
            </w:r>
          </w:p>
        </w:tc>
        <w:tc>
          <w:tcPr/>
          <w:p>
            <w:pPr>
              <w:pStyle w:val="Compact"/>
              <w:jc w:val="left"/>
            </w:pPr>
            <w:r>
              <w:t xml:space="preserve">€ 23,200.00</w:t>
            </w:r>
          </w:p>
        </w:tc>
      </w:tr>
      <w:tr>
        <w:tc>
          <w:tcPr/>
          <w:p>
            <w:pPr>
              <w:pStyle w:val="Compact"/>
              <w:jc w:val="left"/>
            </w:pPr>
            <w:r>
              <w:t xml:space="preserve">02</w:t>
            </w:r>
          </w:p>
        </w:tc>
        <w:tc>
          <w:tcPr/>
          <w:p>
            <w:pPr>
              <w:pStyle w:val="Compact"/>
              <w:jc w:val="left"/>
            </w:pPr>
            <w:r>
              <w:t xml:space="preserve">Detailed Engineering, CAD Modelling &amp; Documentation</w:t>
            </w:r>
          </w:p>
        </w:tc>
        <w:tc>
          <w:tcPr/>
          <w:p>
            <w:pPr>
              <w:pStyle w:val="Compact"/>
              <w:jc w:val="left"/>
            </w:pPr>
            <w:r>
              <w:t xml:space="preserve">35 days</w:t>
            </w:r>
          </w:p>
        </w:tc>
        <w:tc>
          <w:tcPr/>
          <w:p>
            <w:pPr>
              <w:pStyle w:val="Compact"/>
              <w:jc w:val="left"/>
            </w:pPr>
            <w:r>
              <w:t xml:space="preserve">€ 145.00 / hr × 8 hrs</w:t>
            </w:r>
          </w:p>
        </w:tc>
        <w:tc>
          <w:tcPr/>
          <w:p>
            <w:pPr>
              <w:pStyle w:val="Compact"/>
              <w:jc w:val="left"/>
            </w:pPr>
            <w:r>
              <w:t xml:space="preserve">€ 40,600.00</w:t>
            </w:r>
          </w:p>
        </w:tc>
      </w:tr>
      <w:tr>
        <w:tc>
          <w:tcPr/>
          <w:p>
            <w:pPr>
              <w:pStyle w:val="Compact"/>
              <w:jc w:val="left"/>
            </w:pPr>
            <w:r>
              <w:t xml:space="preserve">03</w:t>
            </w:r>
          </w:p>
        </w:tc>
        <w:tc>
          <w:tcPr/>
          <w:p>
            <w:pPr>
              <w:pStyle w:val="Compact"/>
              <w:jc w:val="left"/>
            </w:pPr>
            <w:r>
              <w:t xml:space="preserve">FEA, Thermal &amp; Vibration Analysis (incl. software licence allocation)</w:t>
            </w:r>
          </w:p>
        </w:tc>
        <w:tc>
          <w:tcPr/>
          <w:p>
            <w:pPr>
              <w:pStyle w:val="Compact"/>
              <w:jc w:val="left"/>
            </w:pPr>
            <w:r>
              <w:t xml:space="preserve">15 days</w:t>
            </w:r>
          </w:p>
        </w:tc>
        <w:tc>
          <w:tcPr/>
          <w:p>
            <w:pPr>
              <w:pStyle w:val="Compact"/>
              <w:jc w:val="left"/>
            </w:pPr>
            <w:r>
              <w:t xml:space="preserve">€ 165.00 / hr × 8 hrs</w:t>
            </w:r>
          </w:p>
        </w:tc>
        <w:tc>
          <w:tcPr/>
          <w:p>
            <w:pPr>
              <w:pStyle w:val="Compact"/>
              <w:jc w:val="left"/>
            </w:pPr>
            <w:r>
              <w:t xml:space="preserve">€ 19,800.00</w:t>
            </w:r>
          </w:p>
        </w:tc>
      </w:tr>
      <w:tr>
        <w:tc>
          <w:tcPr/>
          <w:p>
            <w:pPr>
              <w:pStyle w:val="Compact"/>
              <w:jc w:val="left"/>
            </w:pPr>
            <w:r>
              <w:t xml:space="preserve">04</w:t>
            </w:r>
          </w:p>
        </w:tc>
        <w:tc>
          <w:tcPr/>
          <w:p>
            <w:pPr>
              <w:pStyle w:val="Compact"/>
              <w:jc w:val="left"/>
            </w:pPr>
            <w:r>
              <w:t xml:space="preserve">On-Site Commissioning &amp; Functional Testing in Germany Berlin</w:t>
            </w:r>
          </w:p>
        </w:tc>
        <w:tc>
          <w:tcPr/>
          <w:p>
            <w:pPr>
              <w:pStyle w:val="Compact"/>
              <w:jc w:val="left"/>
            </w:pPr>
            <w:r>
              <w:t xml:space="preserve">12 days</w:t>
            </w:r>
          </w:p>
        </w:tc>
        <w:tc>
          <w:tcPr/>
          <w:p>
            <w:pPr>
              <w:pStyle w:val="Compact"/>
              <w:jc w:val="left"/>
            </w:pPr>
            <w:r>
              <w:t xml:space="preserve">€ 155.00 / hr × 8 hrs</w:t>
            </w:r>
          </w:p>
        </w:tc>
        <w:tc>
          <w:tcPr/>
          <w:p>
            <w:pPr>
              <w:pStyle w:val="Compact"/>
              <w:jc w:val="left"/>
            </w:pPr>
            <w:r>
              <w:t xml:space="preserve">€ 14,880.00</w:t>
            </w:r>
          </w:p>
        </w:tc>
      </w:tr>
      <w:tr>
        <w:tc>
          <w:tcPr/>
          <w:p>
            <w:pPr>
              <w:pStyle w:val="Compact"/>
              <w:jc w:val="left"/>
            </w:pPr>
            <w:r>
              <w:t xml:space="preserve">05</w:t>
            </w:r>
          </w:p>
        </w:tc>
        <w:tc>
          <w:tcPr/>
          <w:p>
            <w:pPr>
              <w:pStyle w:val="Compact"/>
              <w:jc w:val="left"/>
            </w:pPr>
            <w:r>
              <w:t xml:space="preserve">Regulatory Compliance, CE Technical File &amp; TÜV Coordination</w:t>
            </w:r>
          </w:p>
        </w:tc>
        <w:tc>
          <w:tcPr/>
          <w:p>
            <w:pPr>
              <w:pStyle w:val="Compact"/>
              <w:jc w:val="left"/>
            </w:pPr>
            <w:r>
              <w:t xml:space="preserve">10 days</w:t>
            </w:r>
          </w:p>
        </w:tc>
        <w:tc>
          <w:tcPr/>
          <w:p>
            <w:pPr>
              <w:pStyle w:val="Compact"/>
              <w:jc w:val="left"/>
            </w:pPr>
            <w:r>
              <w:t xml:space="preserve">€ 145.00 / hr × 8 hrs</w:t>
            </w:r>
          </w:p>
        </w:tc>
        <w:tc>
          <w:tcPr/>
          <w:p>
            <w:pPr>
              <w:pStyle w:val="Compact"/>
              <w:jc w:val="left"/>
            </w:pPr>
            <w:r>
              <w:t xml:space="preserve">€ 11,600.00</w:t>
            </w:r>
          </w:p>
        </w:tc>
      </w:tr>
      <w:tr>
        <w:tc>
          <w:tcPr/>
          <w:p>
            <w:pPr>
              <w:pStyle w:val="Compact"/>
              <w:jc w:val="left"/>
            </w:pPr>
            <w:r>
              <w:t xml:space="preserve">06</w:t>
            </w:r>
          </w:p>
        </w:tc>
        <w:tc>
          <w:tcPr/>
          <w:p>
            <w:pPr>
              <w:pStyle w:val="Compact"/>
              <w:jc w:val="left"/>
            </w:pPr>
            <w:r>
              <w:t xml:space="preserve">Post-Commissioning Warranty Support (30 days, remote + 2 site visits)</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€ 3,500.00</w:t>
            </w:r>
          </w:p>
        </w:tc>
      </w:tr>
      <w:tr>
        <w:tc>
          <w:tcPr/>
          <w:p>
            <w:pPr>
              <w:pStyle w:val="Compact"/>
              <w:jc w:val="left"/>
            </w:pPr>
            <w:r>
              <w:t xml:space="preserve">07</w:t>
            </w:r>
          </w:p>
        </w:tc>
        <w:tc>
          <w:tcPr/>
          <w:p>
            <w:pPr>
              <w:pStyle w:val="Compact"/>
              <w:jc w:val="left"/>
            </w:pPr>
            <w:r>
              <w:t xml:space="preserve">Travel, Accommodation &amp; Per Diem (Berlin metropolitan area, 12 site days)</w:t>
            </w:r>
          </w:p>
        </w:tc>
        <w:tc>
          <w:tcPr/>
          <w:p>
            <w:pPr>
              <w:pStyle w:val="Compact"/>
              <w:jc w:val="left"/>
            </w:pPr>
            <w:r>
              <w:t xml:space="preserve">12 days</w:t>
            </w:r>
          </w:p>
        </w:tc>
        <w:tc>
          <w:tcPr/>
          <w:p>
            <w:pPr>
              <w:pStyle w:val="Compact"/>
              <w:jc w:val="left"/>
            </w:pPr>
            <w:r>
              <w:t xml:space="preserve">€ 180.00 / day</w:t>
            </w:r>
          </w:p>
        </w:tc>
        <w:tc>
          <w:tcPr/>
          <w:p>
            <w:pPr>
              <w:pStyle w:val="Compact"/>
              <w:jc w:val="left"/>
            </w:pPr>
            <w:r>
              <w:t xml:space="preserve">€ 2,160.00</w:t>
            </w:r>
          </w:p>
        </w:tc>
      </w:tr>
      <w:tr>
        <w:tc>
          <w:tcPr/>
          <w:p>
            <w:pPr>
              <w:pStyle w:val="Compact"/>
              <w:jc w:val="left"/>
            </w:pPr>
            <w:r>
              <w:t xml:space="preserve">08</w:t>
            </w:r>
          </w:p>
        </w:tc>
        <w:tc>
          <w:tcPr/>
          <w:p>
            <w:pPr>
              <w:pStyle w:val="Compact"/>
              <w:jc w:val="left"/>
            </w:pPr>
            <w:r>
              <w:t xml:space="preserve">Specialist Software Licences (ANSYS, SolidWorks Simulation) — project allocation</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€ 2,800.00</w:t>
            </w:r>
          </w:p>
        </w:tc>
      </w:tr>
      <w:tr>
        <w:tc>
          <w:tcPr>
            <w:gridSpan w:val="4"/>
          </w:tcPr>
          <w:p>
            <w:pPr>
              <w:pStyle w:val="Compact"/>
              <w:jc w:val="left"/>
            </w:pPr>
            <w:r>
              <w:t xml:space="preserve">Subtotal (excl. VAT)</w:t>
            </w:r>
          </w:p>
        </w:tc>
        <w:tc>
          <w:tcPr/>
          <w:p>
            <w:pPr>
              <w:pStyle w:val="Compact"/>
              <w:jc w:val="left"/>
            </w:pPr>
            <w:r>
              <w:t xml:space="preserve">€ 118,540.00</w:t>
            </w:r>
          </w:p>
        </w:tc>
      </w:tr>
      <w:tr>
        <w:tc>
          <w:tcPr>
            <w:gridSpan w:val="4"/>
          </w:tcPr>
          <w:p>
            <w:pPr>
              <w:pStyle w:val="Compact"/>
              <w:jc w:val="left"/>
            </w:pPr>
            <w:r>
              <w:t xml:space="preserve">German VAT (Mehrwertsteuer) — 19%</w:t>
            </w:r>
          </w:p>
        </w:tc>
        <w:tc>
          <w:tcPr/>
          <w:p>
            <w:pPr>
              <w:pStyle w:val="Compact"/>
              <w:jc w:val="left"/>
            </w:pPr>
            <w:r>
              <w:t xml:space="preserve">€ 22,522.60</w:t>
            </w:r>
          </w:p>
        </w:tc>
      </w:tr>
      <w:tr>
        <w:tc>
          <w:tcPr>
            <w:gridSpan w:val="4"/>
          </w:tcPr>
          <w:p>
            <w:pPr>
              <w:pStyle w:val="Compact"/>
              <w:jc w:val="left"/>
            </w:pPr>
            <w:r>
              <w:t xml:space="preserve">TOTAL AMOUNT DUE (incl. 19% VAT)</w:t>
            </w:r>
          </w:p>
        </w:tc>
        <w:tc>
          <w:tcPr/>
          <w:p>
            <w:pPr>
              <w:pStyle w:val="Compact"/>
              <w:jc w:val="left"/>
            </w:pPr>
            <w:r>
              <w:t xml:space="preserve">€ 141,062.60</w:t>
            </w:r>
          </w:p>
        </w:tc>
      </w:tr>
    </w:tbl>
    <w:bookmarkEnd w:id="24"/>
    <w:bookmarkStart w:id="25" w:name="payment-terms"/>
    <w:p>
      <w:pPr>
        <w:pStyle w:val="Heading3"/>
      </w:pPr>
      <w:r>
        <w:t xml:space="preserve">4. Payment Terms</w:t>
      </w:r>
    </w:p>
    <w:p>
      <w:pPr>
        <w:pStyle w:val="FirstParagraph"/>
      </w:pPr>
      <w:r>
        <w:t xml:space="preserve">This Quotation Estimate is structured with the following milestone-based payment schedule. All payments are to be made via bank transfer (SEPA) to the account of TechnoMech Engineering GmbH, IBAN: DE89 3704 0044 0532 0130 00, BIC: COBADEFFXXX, Berlin, Germany.</w:t>
      </w:r>
    </w:p>
    <w:p>
      <w:pPr>
        <w:numPr>
          <w:ilvl w:val="0"/>
          <w:numId w:val="1002"/>
        </w:numPr>
        <w:pStyle w:val="Compact"/>
      </w:pPr>
      <w:r>
        <w:rPr>
          <w:bCs/>
          <w:b/>
        </w:rPr>
        <w:t xml:space="preserve">30% advance payment</w:t>
      </w:r>
      <w:r>
        <w:t xml:space="preserve"> </w:t>
      </w:r>
      <w:r>
        <w:t xml:space="preserve">upon written acceptance of this Quotation Estimate and execution of the service contract: € 42,318.78</w:t>
      </w:r>
    </w:p>
    <w:p>
      <w:pPr>
        <w:numPr>
          <w:ilvl w:val="0"/>
          <w:numId w:val="1002"/>
        </w:numPr>
        <w:pStyle w:val="Compact"/>
      </w:pPr>
      <w:r>
        <w:rPr>
          <w:bCs/>
          <w:b/>
        </w:rPr>
        <w:t xml:space="preserve">40% upon completion</w:t>
      </w:r>
      <w:r>
        <w:t xml:space="preserve"> </w:t>
      </w:r>
      <w:r>
        <w:t xml:space="preserve">of Detailed Engineering and delivery of all technical documentation: € 56,425.04</w:t>
      </w:r>
    </w:p>
    <w:p>
      <w:pPr>
        <w:numPr>
          <w:ilvl w:val="0"/>
          <w:numId w:val="1002"/>
        </w:numPr>
        <w:pStyle w:val="Compact"/>
      </w:pPr>
      <w:r>
        <w:rPr>
          <w:bCs/>
          <w:b/>
        </w:rPr>
        <w:t xml:space="preserve">25% upon successful commissioning</w:t>
      </w:r>
      <w:r>
        <w:t xml:space="preserve"> </w:t>
      </w:r>
      <w:r>
        <w:t xml:space="preserve">and sign-off of the acceptance protocol in Germany Berlin: € 35,265.65</w:t>
      </w:r>
    </w:p>
    <w:p>
      <w:pPr>
        <w:numPr>
          <w:ilvl w:val="0"/>
          <w:numId w:val="1002"/>
        </w:numPr>
        <w:pStyle w:val="Compact"/>
      </w:pPr>
      <w:r>
        <w:rPr>
          <w:bCs/>
          <w:b/>
        </w:rPr>
        <w:t xml:space="preserve">5% final balance</w:t>
      </w:r>
      <w:r>
        <w:t xml:space="preserve"> </w:t>
      </w:r>
      <w:r>
        <w:t xml:space="preserve">upon expiry of the 30-day post-commissioning warranty period: € 7,053.13</w:t>
      </w:r>
    </w:p>
    <w:p>
      <w:pPr>
        <w:pStyle w:val="FirstParagraph"/>
      </w:pPr>
      <w:r>
        <w:t xml:space="preserve">Invoices are payable within 14 calendar days of the invoice date. Late payments shall accrue interest at the statutory rate pursuant to § 288 of the German Civil Code (BGB).</w:t>
      </w:r>
    </w:p>
    <w:bookmarkEnd w:id="25"/>
    <w:bookmarkStart w:id="26" w:name="terms-and-conditions"/>
    <w:p>
      <w:pPr>
        <w:pStyle w:val="Heading3"/>
      </w:pPr>
      <w:r>
        <w:t xml:space="preserve">5. Terms and Conditions</w:t>
      </w:r>
    </w:p>
    <w:p>
      <w:pPr>
        <w:pStyle w:val="FirstParagraph"/>
      </w:pPr>
      <w:r>
        <w:rPr>
          <w:bCs/>
          <w:b/>
        </w:rPr>
        <w:t xml:space="preserve">5.1 Validity:</w:t>
      </w:r>
      <w:r>
        <w:t xml:space="preserve"> </w:t>
      </w:r>
      <w:r>
        <w:t xml:space="preserve">This Quotation Estimate shall remain valid for a period of 90 calendar days from the date of issue. After this period, all rates and availability commitments are subject to re-evaluation.</w:t>
      </w:r>
    </w:p>
    <w:p>
      <w:pPr>
        <w:pStyle w:val="BodyText"/>
      </w:pPr>
      <w:r>
        <w:rPr>
          <w:bCs/>
          <w:b/>
        </w:rPr>
        <w:t xml:space="preserve">5.2 Binding Nature:</w:t>
      </w:r>
      <w:r>
        <w:t xml:space="preserve"> </w:t>
      </w:r>
      <w:r>
        <w:t xml:space="preserve">This document constitutes a non-binding Quotation Estimate. A binding contractual relationship shall only arise upon the mutual execution of a formal Service Agreement (Dienstleistungsvertrag) incorporating the terms herein.</w:t>
      </w:r>
    </w:p>
    <w:p>
      <w:pPr>
        <w:pStyle w:val="BodyText"/>
      </w:pPr>
      <w:r>
        <w:rPr>
          <w:bCs/>
          <w:b/>
        </w:rPr>
        <w:t xml:space="preserve">5.3 Intellectual Property:</w:t>
      </w:r>
      <w:r>
        <w:t xml:space="preserve"> </w:t>
      </w:r>
      <w:r>
        <w:t xml:space="preserve">All designs, CAD models, analysis reports, and documentation produced by the Mechanical Engineer under this engagement shall become the exclusive property of the client upon full payment. The engineer retains the right to reference the project in professional portfolios with prior written consent.</w:t>
      </w:r>
    </w:p>
    <w:p>
      <w:pPr>
        <w:pStyle w:val="BodyText"/>
      </w:pPr>
      <w:r>
        <w:rPr>
          <w:bCs/>
          <w:b/>
        </w:rPr>
        <w:t xml:space="preserve">5.4 Liability &amp; Insurance:</w:t>
      </w:r>
      <w:r>
        <w:t xml:space="preserve"> </w:t>
      </w:r>
      <w:r>
        <w:t xml:space="preserve">TechnoMech Engineering GmbH maintains professional indemnity insurance (Berufshaftpflicht) with a coverage of € 5,000,000 per claim, compliant with the requirements of the German Engineering Chamber (Ingenieurkammer Berlin). Liability is limited to direct damages and shall not exceed the total contract value.</w:t>
      </w:r>
    </w:p>
    <w:p>
      <w:pPr>
        <w:pStyle w:val="BodyText"/>
      </w:pPr>
      <w:r>
        <w:rPr>
          <w:bCs/>
          <w:b/>
        </w:rPr>
        <w:t xml:space="preserve">5.5 Force Majeure:</w:t>
      </w:r>
      <w:r>
        <w:t xml:space="preserve"> </w:t>
      </w:r>
      <w:r>
        <w:t xml:space="preserve">Neither party shall be liable for delays or non-performance caused by events beyond reasonable control, including but not limited to natural disasters, pandemics, government-mandated shutdowns, or strikes affecting operations in Germany Berlin.</w:t>
      </w:r>
    </w:p>
    <w:p>
      <w:pPr>
        <w:pStyle w:val="BodyText"/>
      </w:pPr>
      <w:r>
        <w:rPr>
          <w:bCs/>
          <w:b/>
        </w:rPr>
        <w:t xml:space="preserve">5.6 Governing Law &amp; Jurisdiction:</w:t>
      </w:r>
      <w:r>
        <w:t xml:space="preserve"> </w:t>
      </w:r>
      <w:r>
        <w:t xml:space="preserve">This Quotation Estimate and any resulting contract shall be governed by the laws of the Federal Republic of Germany. Exclusive jurisdiction for any disputes shall lie with the competent courts of Berlin, Germany.</w:t>
      </w:r>
    </w:p>
    <w:p>
      <w:pPr>
        <w:pStyle w:val="BodyText"/>
      </w:pPr>
      <w:r>
        <w:rPr>
          <w:bCs/>
          <w:b/>
        </w:rPr>
        <w:t xml:space="preserve">5.7 Data Protection:</w:t>
      </w:r>
      <w:r>
        <w:t xml:space="preserve"> </w:t>
      </w:r>
      <w:r>
        <w:t xml:space="preserve">All personal data processed in connection with this engagement shall be handled in accordance with the EU General Data Protection Regulation (GDPR) and the German Federal Data Protection Act (BDSG). A separate Data Processing Agreement (DPA) may be executed upon request.</w:t>
      </w:r>
    </w:p>
    <w:bookmarkEnd w:id="26"/>
    <w:bookmarkStart w:id="27" w:name="acceptance-signature"/>
    <w:p>
      <w:pPr>
        <w:pStyle w:val="Heading3"/>
      </w:pPr>
      <w:r>
        <w:t xml:space="preserve">6. Acceptance &amp; Signature</w:t>
      </w:r>
    </w:p>
    <w:p>
      <w:pPr>
        <w:pStyle w:val="FirstParagraph"/>
      </w:pPr>
      <w:r>
        <w:t xml:space="preserve">By signing below, the client acknowledges receipt of this Quotation Estimate for Mechanical Engineer services in Germany Berlin and confirms that the scope, costs, and terms presented herein have been reviewed and are acceptable. This signature does not constitute a binding contract until the formal Service Agreement is executed by both parties.</w:t>
      </w:r>
    </w:p>
    <w:p>
      <w:pPr>
        <w:pStyle w:val="BodyText"/>
      </w:pPr>
      <w:r>
        <w:rPr>
          <w:bCs/>
          <w:b/>
        </w:rPr>
        <w:t xml:space="preserve">For and on behalf of TechnoMech Engineering GmbH</w:t>
      </w:r>
    </w:p>
    <w:p>
      <w:pPr>
        <w:pStyle w:val="BodyText"/>
      </w:pPr>
      <w:r>
        <w:t xml:space="preserve">Ing. (Dipl.-Ing.) Stefan Krüger</w:t>
      </w:r>
      <w:r>
        <w:br/>
      </w:r>
      <w:r>
        <w:t xml:space="preserve">Managing Director</w:t>
      </w:r>
      <w:r>
        <w:br/>
      </w:r>
      <w:r>
        <w:t xml:space="preserve">Date: ____________________</w:t>
      </w:r>
    </w:p>
    <w:p>
      <w:pPr>
        <w:pStyle w:val="BodyText"/>
      </w:pPr>
      <w:r>
        <w:rPr>
          <w:bCs/>
          <w:b/>
        </w:rPr>
        <w:t xml:space="preserve">For and on behalf of Industriepark Berlin GmbH (Client)</w:t>
      </w:r>
    </w:p>
    <w:p>
      <w:pPr>
        <w:pStyle w:val="BodyText"/>
      </w:pPr>
      <w:r>
        <w:t xml:space="preserve">Dr. Markus Weber</w:t>
      </w:r>
      <w:r>
        <w:br/>
      </w:r>
      <w:r>
        <w:t xml:space="preserve">Managing Director</w:t>
      </w:r>
      <w:r>
        <w:br/>
      </w:r>
      <w:r>
        <w:t xml:space="preserve">Date: ____________________</w:t>
      </w:r>
    </w:p>
    <w:p>
      <w:pPr>
        <w:pStyle w:val="BodyText"/>
      </w:pPr>
      <w:r>
        <w:t xml:space="preserve">TechnoMech Engineering GmbH — Quotation Estimate QTE-2025-BER-0487 — Mechanical Engineer Services — Germany Berlin</w:t>
      </w:r>
      <w:r>
        <w:br/>
      </w:r>
      <w:r>
        <w:t xml:space="preserve">This document is confidential and intended solely for the named recipient. Unauthorised reproduction or distribution is prohibited.</w:t>
      </w:r>
      <w:r>
        <w:br/>
      </w:r>
      <w:r>
        <w:t xml:space="preserve">Page 1 of 1 — Generated: 14 June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Germany Berlin</dc:title>
  <dc:creator/>
  <dc:language>en</dc:language>
  <cp:keywords/>
  <dcterms:created xsi:type="dcterms:W3CDTF">2026-10-10T01:40:01Z</dcterms:created>
  <dcterms:modified xsi:type="dcterms:W3CDTF">2026-10-10T01:40:01Z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