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Xb6255e9d4ef7ae085d2ed9b622a4110d89a31d5"/>
    <w:p>
      <w:pPr>
        <w:pStyle w:val="Heading1"/>
      </w:pPr>
      <w:r>
        <w:t xml:space="preserve">TECHNIVEX ENGINEERING CONSULTANCY CO., LTD.</w:t>
      </w:r>
    </w:p>
    <w:p>
      <w:pPr>
        <w:pStyle w:val="FirstParagraph"/>
      </w:pPr>
      <w:r>
        <w:t xml:space="preserve">2-14-8 Roppongi, Minato-ku, Tokyo 106-0032, Japan</w:t>
      </w:r>
    </w:p>
    <w:p>
      <w:pPr>
        <w:pStyle w:val="BodyText"/>
      </w:pPr>
      <w:r>
        <w:t xml:space="preserve">Tel: +81-3-5412-7890 | Email: estimates@technivex-jp.co.jp</w:t>
      </w:r>
    </w:p>
    <w:p>
      <w:pPr>
        <w:pStyle w:val="BodyText"/>
      </w:pPr>
      <w:r>
        <w:t xml:space="preserve">Corporation Number: 4010401087654 | Registered in Tokyo, Japan</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QTE-2025-TKY-0487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Japan Tokyo</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Kanto Industrial Systems K.K.</w:t>
      </w:r>
    </w:p>
    <w:p>
      <w:pPr>
        <w:pStyle w:val="BodyText"/>
      </w:pPr>
      <w:r>
        <w:rPr>
          <w:bCs/>
          <w:b/>
        </w:rPr>
        <w:t xml:space="preserve">Address:</w:t>
      </w:r>
      <w:r>
        <w:t xml:space="preserve"> </w:t>
      </w:r>
      <w:r>
        <w:t xml:space="preserve">7-3-1 Shinjuku, Shinjuku-ku, Tokyo 160-0022, Japan</w:t>
      </w:r>
    </w:p>
    <w:p>
      <w:pPr>
        <w:pStyle w:val="BodyText"/>
      </w:pPr>
      <w:r>
        <w:rPr>
          <w:bCs/>
          <w:b/>
        </w:rPr>
        <w:t xml:space="preserve">Contact Person:</w:t>
      </w:r>
      <w:r>
        <w:t xml:space="preserve"> </w:t>
      </w:r>
      <w:r>
        <w:t xml:space="preserve">Mr. Hiroshi Tanaka</w:t>
      </w:r>
    </w:p>
    <w:p>
      <w:pPr>
        <w:pStyle w:val="BodyText"/>
      </w:pPr>
      <w:r>
        <w:rPr>
          <w:bCs/>
          <w:b/>
        </w:rPr>
        <w:t xml:space="preserve">Email:</w:t>
      </w:r>
      <w:r>
        <w:t xml:space="preserve"> </w:t>
      </w:r>
      <w:r>
        <w:t xml:space="preserve">h.tanaka@kanto-industrial.jp</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Technivex Engineering Consultancy Co., Ltd. to Kanto Industrial Systems K.K. for the provision of specialized</w:t>
      </w:r>
      <w:r>
        <w:t xml:space="preserve"> </w:t>
      </w:r>
      <w:r>
        <w:t xml:space="preserve">Mechanical Engineer</w:t>
      </w:r>
      <w:r>
        <w:t xml:space="preserve"> </w:t>
      </w:r>
      <w:r>
        <w:t xml:space="preserve">services to be executed within the metropolitan area of</w:t>
      </w:r>
      <w:r>
        <w:t xml:space="preserve"> </w:t>
      </w:r>
      <w:r>
        <w:t xml:space="preserve">Japan Tokyo</w:t>
      </w:r>
      <w:r>
        <w:t xml:space="preserve">. The scope of work encompasses comprehensive mechanical design, system integration, performance analysis, and on-site technical supervision for the client's new automated manufacturing facility located in the Odaiba industrial district, Minato-ku, Tokyo.</w:t>
      </w:r>
    </w:p>
    <w:p>
      <w:pPr>
        <w:pStyle w:val="BodyText"/>
      </w:pPr>
      <w:r>
        <w:t xml:space="preserve">This</w:t>
      </w:r>
      <w:r>
        <w:t xml:space="preserve"> </w:t>
      </w:r>
      <w:r>
        <w:t xml:space="preserve">Quotation Estimate</w:t>
      </w:r>
      <w:r>
        <w:t xml:space="preserve"> </w:t>
      </w:r>
      <w:r>
        <w:t xml:space="preserve">reflects our firm commitment to delivering world-class</w:t>
      </w:r>
      <w:r>
        <w:t xml:space="preserve"> </w:t>
      </w:r>
      <w:r>
        <w:t xml:space="preserve">Mechanical Engineer</w:t>
      </w:r>
      <w:r>
        <w:t xml:space="preserve"> </w:t>
      </w:r>
      <w:r>
        <w:t xml:space="preserve">expertise tailored to the rigorous standards and regulatory requirements specific to</w:t>
      </w:r>
      <w:r>
        <w:t xml:space="preserve"> </w:t>
      </w:r>
      <w:r>
        <w:t xml:space="preserve">Japan Tokyo</w:t>
      </w:r>
      <w:r>
        <w:t xml:space="preserve">. All proposed services comply with the Japanese Industrial Standards (JIS), the Building Standards Act of Tokyo, and the relevant occupational safety regulations enforced by the Tokyo Metropolitan Government.</w:t>
      </w:r>
    </w:p>
    <w:bookmarkEnd w:id="23"/>
    <w:bookmarkStart w:id="24" w:name="X99d4665ac9ac16a2ed854ce162071e081b7a1e6"/>
    <w:p>
      <w:pPr>
        <w:pStyle w:val="Heading2"/>
      </w:pPr>
      <w:r>
        <w:t xml:space="preserve">2. Detailed Scope of Work – Mechanical Engineer Services</w:t>
      </w:r>
    </w:p>
    <w:p>
      <w:pPr>
        <w:pStyle w:val="FirstParagraph"/>
      </w:pPr>
      <w:r>
        <w:t xml:space="preserve">The</w:t>
      </w:r>
      <w:r>
        <w:t xml:space="preserve"> </w:t>
      </w:r>
      <w:r>
        <w:t xml:space="preserve">Mechanical Engineer</w:t>
      </w:r>
      <w:r>
        <w:t xml:space="preserve"> </w:t>
      </w:r>
      <w:r>
        <w:t xml:space="preserve">team assigned to this project in</w:t>
      </w:r>
      <w:r>
        <w:t xml:space="preserve"> </w:t>
      </w:r>
      <w:r>
        <w:t xml:space="preserve">Japan Tokyo</w:t>
      </w:r>
      <w:r>
        <w:t xml:space="preserve"> </w:t>
      </w:r>
      <w:r>
        <w:t xml:space="preserve">will deliver the following services:</w:t>
      </w:r>
    </w:p>
    <w:p>
      <w:pPr>
        <w:numPr>
          <w:ilvl w:val="0"/>
          <w:numId w:val="1001"/>
        </w:numPr>
        <w:pStyle w:val="Compact"/>
      </w:pPr>
      <w:r>
        <w:rPr>
          <w:bCs/>
          <w:b/>
        </w:rPr>
        <w:t xml:space="preserve">Mechanical System Design:</w:t>
      </w:r>
      <w:r>
        <w:t xml:space="preserve"> </w:t>
      </w:r>
      <w:r>
        <w:t xml:space="preserve">Complete design of HVAC systems, pneumatic and hydraulic power units, conveyor mechanisms, and thermal management infrastructure for the 12,000 square meter production floor.</w:t>
      </w:r>
    </w:p>
    <w:p>
      <w:pPr>
        <w:numPr>
          <w:ilvl w:val="0"/>
          <w:numId w:val="1001"/>
        </w:numPr>
        <w:pStyle w:val="Compact"/>
      </w:pPr>
      <w:r>
        <w:rPr>
          <w:bCs/>
          <w:b/>
        </w:rPr>
        <w:t xml:space="preserve">Structural Analysis and Load Calculations:</w:t>
      </w:r>
      <w:r>
        <w:t xml:space="preserve"> </w:t>
      </w:r>
      <w:r>
        <w:t xml:space="preserve">Seismic-resistant structural verification in accordance with Tokyo's stringent earthquake engineering codes, ensuring all mechanical installations withstand the prescribed seismic intensity for the Kanto region.</w:t>
      </w:r>
    </w:p>
    <w:p>
      <w:pPr>
        <w:numPr>
          <w:ilvl w:val="0"/>
          <w:numId w:val="1001"/>
        </w:numPr>
        <w:pStyle w:val="Compact"/>
      </w:pPr>
      <w:r>
        <w:rPr>
          <w:bCs/>
          <w:b/>
        </w:rPr>
        <w:t xml:space="preserve">Equipment Selection and Procurement Support:</w:t>
      </w:r>
      <w:r>
        <w:t xml:space="preserve"> </w:t>
      </w:r>
      <w:r>
        <w:t xml:space="preserve">Technical evaluation and specification of industrial machinery, including CNC machining centers, robotic assembly arms, and material handling systems, with sourcing from approved vendors operating in</w:t>
      </w:r>
      <w:r>
        <w:t xml:space="preserve"> </w:t>
      </w:r>
      <w:r>
        <w:t xml:space="preserve">Japan Tokyo</w:t>
      </w:r>
      <w:r>
        <w:t xml:space="preserve"> </w:t>
      </w:r>
      <w:r>
        <w:t xml:space="preserve">and the broader Kanto region.</w:t>
      </w:r>
    </w:p>
    <w:p>
      <w:pPr>
        <w:numPr>
          <w:ilvl w:val="0"/>
          <w:numId w:val="1001"/>
        </w:numPr>
        <w:pStyle w:val="Compact"/>
      </w:pPr>
      <w:r>
        <w:rPr>
          <w:bCs/>
          <w:b/>
        </w:rPr>
        <w:t xml:space="preserve">On-Site Installation Supervision:</w:t>
      </w:r>
      <w:r>
        <w:t xml:space="preserve"> </w:t>
      </w:r>
      <w:r>
        <w:t xml:space="preserve">Full-time</w:t>
      </w:r>
      <w:r>
        <w:t xml:space="preserve"> </w:t>
      </w:r>
      <w:r>
        <w:t xml:space="preserve">Mechanical Engineer</w:t>
      </w:r>
      <w:r>
        <w:t xml:space="preserve"> </w:t>
      </w:r>
      <w:r>
        <w:t xml:space="preserve">presence at the Odaiba construction site for a minimum of 180 working days to oversee fabrication, assembly, and commissioning of all mechanical systems.</w:t>
      </w:r>
    </w:p>
    <w:p>
      <w:pPr>
        <w:numPr>
          <w:ilvl w:val="0"/>
          <w:numId w:val="1001"/>
        </w:numPr>
        <w:pStyle w:val="Compact"/>
      </w:pPr>
      <w:r>
        <w:rPr>
          <w:bCs/>
          <w:b/>
        </w:rPr>
        <w:t xml:space="preserve">Performance Testing and Commissioning:</w:t>
      </w:r>
      <w:r>
        <w:t xml:space="preserve"> </w:t>
      </w:r>
      <w:r>
        <w:t xml:space="preserve">Conducting comprehensive functional tests, load tests, and efficiency verification of all mechanical subsystems prior to handover, in compliance with Tokyo Metropolitan Bureau of Industry and Technology guidelines.</w:t>
      </w:r>
    </w:p>
    <w:p>
      <w:pPr>
        <w:numPr>
          <w:ilvl w:val="0"/>
          <w:numId w:val="1001"/>
        </w:numPr>
        <w:pStyle w:val="Compact"/>
      </w:pPr>
      <w:r>
        <w:rPr>
          <w:bCs/>
          <w:b/>
        </w:rPr>
        <w:t xml:space="preserve">Documentation and Regulatory Compliance:</w:t>
      </w:r>
      <w:r>
        <w:t xml:space="preserve"> </w:t>
      </w:r>
      <w:r>
        <w:t xml:space="preserve">Preparation of as-built drawings, operation and maintenance manuals, and submission of all required permits and inspection reports to the Tokyo Metropolitan Government and relevant municipal authorities.</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Senior Mechanical Engineer – Design &amp; Analysis (Japan Tokyo office)</w:t>
            </w:r>
          </w:p>
        </w:tc>
        <w:tc>
          <w:tcPr/>
          <w:p>
            <w:pPr>
              <w:pStyle w:val="Compact"/>
              <w:jc w:val="left"/>
            </w:pPr>
            <w:r>
              <w:t xml:space="preserve">120 days</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Mid-Level Mechanical Engineer – System Integration</w:t>
            </w:r>
          </w:p>
        </w:tc>
        <w:tc>
          <w:tcPr/>
          <w:p>
            <w:pPr>
              <w:pStyle w:val="Compact"/>
              <w:jc w:val="left"/>
            </w:pPr>
            <w:r>
              <w:t xml:space="preserve">150 days</w:t>
            </w:r>
          </w:p>
        </w:tc>
        <w:tc>
          <w:tcPr/>
          <w:p>
            <w:pPr>
              <w:pStyle w:val="Compact"/>
              <w:jc w:val="left"/>
            </w:pPr>
            <w:r>
              <w:t xml:space="preserve">62,000</w:t>
            </w:r>
          </w:p>
        </w:tc>
        <w:tc>
          <w:tcPr/>
          <w:p>
            <w:pPr>
              <w:pStyle w:val="Compact"/>
              <w:jc w:val="left"/>
            </w:pPr>
            <w:r>
              <w:t xml:space="preserve">9,300,000</w:t>
            </w:r>
          </w:p>
        </w:tc>
      </w:tr>
      <w:tr>
        <w:tc>
          <w:tcPr/>
          <w:p>
            <w:pPr>
              <w:pStyle w:val="Compact"/>
              <w:jc w:val="left"/>
            </w:pPr>
            <w:r>
              <w:t xml:space="preserve">03</w:t>
            </w:r>
          </w:p>
        </w:tc>
        <w:tc>
          <w:tcPr/>
          <w:p>
            <w:pPr>
              <w:pStyle w:val="Compact"/>
              <w:jc w:val="left"/>
            </w:pPr>
            <w:r>
              <w:t xml:space="preserve">On-Site Mechanical Engineer – Installation Supervision (Odaiba, Tokyo)</w:t>
            </w:r>
          </w:p>
        </w:tc>
        <w:tc>
          <w:tcPr/>
          <w:p>
            <w:pPr>
              <w:pStyle w:val="Compact"/>
              <w:jc w:val="left"/>
            </w:pPr>
            <w:r>
              <w:t xml:space="preserve">180 days</w:t>
            </w:r>
          </w:p>
        </w:tc>
        <w:tc>
          <w:tcPr/>
          <w:p>
            <w:pPr>
              <w:pStyle w:val="Compact"/>
              <w:jc w:val="left"/>
            </w:pPr>
            <w:r>
              <w:t xml:space="preserve">55,000</w:t>
            </w:r>
          </w:p>
        </w:tc>
        <w:tc>
          <w:tcPr/>
          <w:p>
            <w:pPr>
              <w:pStyle w:val="Compact"/>
              <w:jc w:val="left"/>
            </w:pPr>
            <w:r>
              <w:t xml:space="preserve">9,900,000</w:t>
            </w:r>
          </w:p>
        </w:tc>
      </w:tr>
      <w:tr>
        <w:tc>
          <w:tcPr/>
          <w:p>
            <w:pPr>
              <w:pStyle w:val="Compact"/>
              <w:jc w:val="left"/>
            </w:pPr>
            <w:r>
              <w:t xml:space="preserve">04</w:t>
            </w:r>
          </w:p>
        </w:tc>
        <w:tc>
          <w:tcPr/>
          <w:p>
            <w:pPr>
              <w:pStyle w:val="Compact"/>
              <w:jc w:val="left"/>
            </w:pPr>
            <w:r>
              <w:t xml:space="preserve">Seismic Structural Analysis &amp; Tokyo Compliance Review</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4,500,000</w:t>
            </w:r>
          </w:p>
        </w:tc>
      </w:tr>
      <w:tr>
        <w:tc>
          <w:tcPr/>
          <w:p>
            <w:pPr>
              <w:pStyle w:val="Compact"/>
              <w:jc w:val="left"/>
            </w:pPr>
            <w:r>
              <w:t xml:space="preserve">05</w:t>
            </w:r>
          </w:p>
        </w:tc>
        <w:tc>
          <w:tcPr/>
          <w:p>
            <w:pPr>
              <w:pStyle w:val="Compact"/>
              <w:jc w:val="left"/>
            </w:pPr>
            <w:r>
              <w:t xml:space="preserve">Performance Testing, Commissioning &amp; Handover Documentation</w:t>
            </w:r>
          </w:p>
        </w:tc>
        <w:tc>
          <w:tcPr/>
          <w:p>
            <w:pPr>
              <w:pStyle w:val="Compact"/>
              <w:jc w:val="left"/>
            </w:pPr>
            <w:r>
              <w:t xml:space="preserve">30 days</w:t>
            </w:r>
          </w:p>
        </w:tc>
        <w:tc>
          <w:tcPr/>
          <w:p>
            <w:pPr>
              <w:pStyle w:val="Compact"/>
              <w:jc w:val="left"/>
            </w:pPr>
            <w:r>
              <w:t xml:space="preserve">70,000</w:t>
            </w:r>
          </w:p>
        </w:tc>
        <w:tc>
          <w:tcPr/>
          <w:p>
            <w:pPr>
              <w:pStyle w:val="Compact"/>
              <w:jc w:val="left"/>
            </w:pPr>
            <w:r>
              <w:t xml:space="preserve">2,100,000</w:t>
            </w:r>
          </w:p>
        </w:tc>
      </w:tr>
      <w:tr>
        <w:tc>
          <w:tcPr/>
          <w:p>
            <w:pPr>
              <w:pStyle w:val="Compact"/>
              <w:jc w:val="left"/>
            </w:pPr>
            <w:r>
              <w:t xml:space="preserve">06</w:t>
            </w:r>
          </w:p>
        </w:tc>
        <w:tc>
          <w:tcPr/>
          <w:p>
            <w:pPr>
              <w:pStyle w:val="Compact"/>
              <w:jc w:val="left"/>
            </w:pPr>
            <w:r>
              <w:t xml:space="preserve">Travel, Accommodation &amp; Local Transportation within Japan Tokyo</w:t>
            </w:r>
          </w:p>
        </w:tc>
        <w:tc>
          <w:tcPr/>
          <w:p>
            <w:pPr>
              <w:pStyle w:val="Compact"/>
              <w:jc w:val="left"/>
            </w:pPr>
            <w:r>
              <w:t xml:space="preserve">240 days</w:t>
            </w:r>
          </w:p>
        </w:tc>
        <w:tc>
          <w:tcPr/>
          <w:p>
            <w:pPr>
              <w:pStyle w:val="Compact"/>
              <w:jc w:val="left"/>
            </w:pPr>
            <w:r>
              <w:t xml:space="preserve">12,000</w:t>
            </w:r>
          </w:p>
        </w:tc>
        <w:tc>
          <w:tcPr/>
          <w:p>
            <w:pPr>
              <w:pStyle w:val="Compact"/>
              <w:jc w:val="left"/>
            </w:pPr>
            <w:r>
              <w:t xml:space="preserve">2,880,000</w:t>
            </w:r>
          </w:p>
        </w:tc>
      </w:tr>
      <w:tr>
        <w:tc>
          <w:tcPr/>
          <w:p>
            <w:pPr>
              <w:pStyle w:val="Compact"/>
              <w:jc w:val="left"/>
            </w:pPr>
            <w:r>
              <w:t xml:space="preserve">07</w:t>
            </w:r>
          </w:p>
        </w:tc>
        <w:tc>
          <w:tcPr/>
          <w:p>
            <w:pPr>
              <w:pStyle w:val="Compact"/>
              <w:jc w:val="left"/>
            </w:pPr>
            <w:r>
              <w:t xml:space="preserve">Software Licenses (FEA, CFD, CAD) – Project Duration</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1,850,000</w:t>
            </w:r>
          </w:p>
        </w:tc>
      </w:tr>
      <w:tr>
        <w:tc>
          <w:tcPr/>
          <w:p>
            <w:pPr>
              <w:pStyle w:val="Compact"/>
              <w:jc w:val="left"/>
            </w:pPr>
            <w:r>
              <w:t xml:space="preserve">08</w:t>
            </w:r>
          </w:p>
        </w:tc>
        <w:tc>
          <w:tcPr/>
          <w:p>
            <w:pPr>
              <w:pStyle w:val="Compact"/>
              <w:jc w:val="left"/>
            </w:pPr>
            <w:r>
              <w:t xml:space="preserve">Regulatory Permit Filing &amp; Tokyo Municipal Inspection Fees</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950,000</w:t>
            </w:r>
          </w:p>
        </w:tc>
      </w:tr>
      <w:tr>
        <w:tc>
          <w:tcPr>
            <w:gridSpan w:val="4"/>
          </w:tcPr>
          <w:p>
            <w:pPr>
              <w:pStyle w:val="Compact"/>
              <w:jc w:val="left"/>
            </w:pPr>
            <w:r>
              <w:t xml:space="preserve">Subtotal (JPY)</w:t>
            </w:r>
          </w:p>
        </w:tc>
        <w:tc>
          <w:tcPr/>
          <w:p>
            <w:pPr>
              <w:pStyle w:val="Compact"/>
              <w:jc w:val="left"/>
            </w:pPr>
            <w:r>
              <w:t xml:space="preserve">41,680,000</w:t>
            </w:r>
          </w:p>
        </w:tc>
      </w:tr>
      <w:tr>
        <w:tc>
          <w:tcPr>
            <w:gridSpan w:val="4"/>
          </w:tcPr>
          <w:p>
            <w:pPr>
              <w:pStyle w:val="Compact"/>
              <w:jc w:val="left"/>
            </w:pPr>
            <w:r>
              <w:t xml:space="preserve">Consumption Tax (10%)</w:t>
            </w:r>
          </w:p>
        </w:tc>
        <w:tc>
          <w:tcPr/>
          <w:p>
            <w:pPr>
              <w:pStyle w:val="Compact"/>
              <w:jc w:val="left"/>
            </w:pPr>
            <w:r>
              <w:t xml:space="preserve">4,168,000</w:t>
            </w:r>
          </w:p>
        </w:tc>
      </w:tr>
      <w:tr>
        <w:tc>
          <w:tcPr>
            <w:gridSpan w:val="4"/>
          </w:tcPr>
          <w:p>
            <w:pPr>
              <w:pStyle w:val="Compact"/>
              <w:jc w:val="left"/>
            </w:pPr>
            <w:r>
              <w:rPr>
                <w:bCs/>
                <w:b/>
              </w:rPr>
              <w:t xml:space="preserve">TOTAL ESTIMATED COST (JPY)</w:t>
            </w:r>
          </w:p>
        </w:tc>
        <w:tc>
          <w:tcPr/>
          <w:p>
            <w:pPr>
              <w:pStyle w:val="Compact"/>
              <w:jc w:val="left"/>
            </w:pPr>
            <w:r>
              <w:rPr>
                <w:bCs/>
                <w:b/>
              </w:rPr>
              <w:t xml:space="preserve">45,848,000</w:t>
            </w:r>
          </w:p>
        </w:tc>
      </w:tr>
    </w:tbl>
    <w:bookmarkEnd w:id="25"/>
    <w:bookmarkStart w:id="26"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made in four milestones: 30% upon contract execution, 30% upon completion of all design deliverables, 30% upon successful commissioning of mechanical systems in</w:t>
      </w:r>
      <w:r>
        <w:t xml:space="preserve"> </w:t>
      </w:r>
      <w:r>
        <w:t xml:space="preserve">Japan Tokyo</w:t>
      </w:r>
      <w:r>
        <w:t xml:space="preserve">, and 10% upon final handover and acceptance. All payments shall be made in Japanese Yen (JPY) via bank transfer to the account specified in the master service agreement. Late payments shall accrue interest at 1.5% per month as stipulated under Japanese commercial law.</w:t>
      </w:r>
    </w:p>
    <w:bookmarkEnd w:id="26"/>
    <w:bookmarkStart w:id="27"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revised to reflect changes in material costs, labor rates, or regulatory requirements in</w:t>
      </w:r>
      <w:r>
        <w:t xml:space="preserve"> </w:t>
      </w:r>
      <w:r>
        <w:t xml:space="preserve">Japan Tokyo</w:t>
      </w:r>
      <w:r>
        <w:t xml:space="preserve">.</w:t>
      </w:r>
    </w:p>
    <w:p>
      <w:pPr>
        <w:numPr>
          <w:ilvl w:val="0"/>
          <w:numId w:val="1002"/>
        </w:numPr>
        <w:pStyle w:val="Compact"/>
      </w:pPr>
      <w:r>
        <w:t xml:space="preserve">All</w:t>
      </w:r>
      <w:r>
        <w:t xml:space="preserve"> </w:t>
      </w:r>
      <w:r>
        <w:t xml:space="preserve">Mechanical Engineer</w:t>
      </w:r>
      <w:r>
        <w:t xml:space="preserve"> </w:t>
      </w:r>
      <w:r>
        <w:t xml:space="preserve">personnel assigned to this project shall hold valid Japanese work permits and possess the requisite professional qualifications recognized by the Japan Society of Mechanical Engineers (JSME).</w:t>
      </w:r>
    </w:p>
    <w:p>
      <w:pPr>
        <w:numPr>
          <w:ilvl w:val="0"/>
          <w:numId w:val="1002"/>
        </w:numPr>
        <w:pStyle w:val="Compact"/>
      </w:pPr>
      <w:r>
        <w:t xml:space="preserve">The client shall provide safe access to the project site in Odaiba, Tokyo, and shall coordinate with local Tokyo municipal authorities for any necessary construction permits or road closures.</w:t>
      </w:r>
    </w:p>
    <w:p>
      <w:pPr>
        <w:numPr>
          <w:ilvl w:val="0"/>
          <w:numId w:val="1002"/>
        </w:numPr>
        <w:pStyle w:val="Compact"/>
      </w:pPr>
      <w:r>
        <w:t xml:space="preserve">Any changes to the scope of work beyond the parameters described in this</w:t>
      </w:r>
      <w:r>
        <w:t xml:space="preserve"> </w:t>
      </w:r>
      <w:r>
        <w:t xml:space="preserve">Quotation Estimate</w:t>
      </w:r>
      <w:r>
        <w:t xml:space="preserve"> </w:t>
      </w:r>
      <w:r>
        <w:t xml:space="preserve">shall be subject to a formal change order and additional cost assessment.</w:t>
      </w:r>
    </w:p>
    <w:p>
      <w:pPr>
        <w:numPr>
          <w:ilvl w:val="0"/>
          <w:numId w:val="1002"/>
        </w:numPr>
        <w:pStyle w:val="Compact"/>
      </w:pPr>
      <w:r>
        <w:t xml:space="preserve">Confidentiality: All technical data, design documents, and proprietary information exchanged in connection with this</w:t>
      </w:r>
      <w:r>
        <w:t xml:space="preserve"> </w:t>
      </w:r>
      <w:r>
        <w:t xml:space="preserve">Mechanical Engineer</w:t>
      </w:r>
      <w:r>
        <w:t xml:space="preserve"> </w:t>
      </w:r>
      <w:r>
        <w:t xml:space="preserve">engagement in</w:t>
      </w:r>
      <w:r>
        <w:t xml:space="preserve"> </w:t>
      </w:r>
      <w:r>
        <w:t xml:space="preserve">Japan Tokyo</w:t>
      </w:r>
      <w:r>
        <w:t xml:space="preserve"> </w:t>
      </w:r>
      <w:r>
        <w:t xml:space="preserve">shall be treated as strictly confidential in accordance with the Japanese Act on the Protection of Personal Information and the parties' mutual NDA.</w:t>
      </w:r>
    </w:p>
    <w:p>
      <w:pPr>
        <w:numPr>
          <w:ilvl w:val="0"/>
          <w:numId w:val="1002"/>
        </w:numPr>
        <w:pStyle w:val="Compact"/>
      </w:pPr>
      <w:r>
        <w:t xml:space="preserve">Governing Law: This agreement and all disputes arising therefrom shall be governed by the laws of Japan, with exclusive jurisdiction vested in the Tokyo District Court.</w:t>
      </w:r>
    </w:p>
    <w:bookmarkEnd w:id="27"/>
    <w:bookmarkStart w:id="28" w:name="project-timeline"/>
    <w:p>
      <w:pPr>
        <w:pStyle w:val="Heading2"/>
      </w:pPr>
      <w:r>
        <w:t xml:space="preserve">6. Project Timeline</w:t>
      </w:r>
    </w:p>
    <w:p>
      <w:pPr>
        <w:pStyle w:val="FirstParagraph"/>
      </w:pPr>
      <w:r>
        <w:t xml:space="preserve">The anticipated project duration for the</w:t>
      </w:r>
      <w:r>
        <w:t xml:space="preserve"> </w:t>
      </w:r>
      <w:r>
        <w:t xml:space="preserve">Mechanical Engineer</w:t>
      </w:r>
      <w:r>
        <w:t xml:space="preserve"> </w:t>
      </w:r>
      <w:r>
        <w:t xml:space="preserve">services described in this</w:t>
      </w:r>
      <w:r>
        <w:t xml:space="preserve"> </w:t>
      </w:r>
      <w:r>
        <w:t xml:space="preserve">Quotation Estimate</w:t>
      </w:r>
      <w:r>
        <w:t xml:space="preserve"> </w:t>
      </w:r>
      <w:r>
        <w:t xml:space="preserve">is twenty-four (24) calendar weeks, commencing upon the client's written acceptance of this document. The project schedule has been developed with consideration of Tokyo's seasonal weather patterns, local public holidays, and the operational constraints of the Odaiba industrial zone in</w:t>
      </w:r>
      <w:r>
        <w:t xml:space="preserve"> </w:t>
      </w:r>
      <w:r>
        <w:t xml:space="preserve">Japan Tokyo</w:t>
      </w:r>
      <w:r>
        <w:t xml:space="preserve">.</w:t>
      </w:r>
    </w:p>
    <w:bookmarkEnd w:id="28"/>
    <w:p>
      <w:pPr>
        <w:pStyle w:val="BodyText"/>
      </w:pPr>
      <w:r>
        <w:rPr>
          <w:bCs/>
          <w:b/>
        </w:rPr>
        <w:t xml:space="preserve">For and on behalf of Technivex Engineering Consultancy Co., Ltd.</w:t>
      </w:r>
    </w:p>
    <w:p>
      <w:pPr>
        <w:pStyle w:val="BodyText"/>
      </w:pPr>
      <w:r>
        <w:t xml:space="preserve">Name: Kenji Yamamoto, P.Eng.</w:t>
      </w:r>
    </w:p>
    <w:p>
      <w:pPr>
        <w:pStyle w:val="BodyText"/>
      </w:pPr>
      <w:r>
        <w:t xml:space="preserve">Title: Chief Mechanical Engineer / Director</w:t>
      </w:r>
    </w:p>
    <w:p>
      <w:pPr>
        <w:pStyle w:val="BodyText"/>
      </w:pPr>
      <w:r>
        <w:t xml:space="preserve">Date: ______________________</w:t>
      </w:r>
    </w:p>
    <w:p>
      <w:pPr>
        <w:pStyle w:val="BodyText"/>
      </w:pPr>
      <w:r>
        <w:t xml:space="preserve">Signature: ______________________</w:t>
      </w:r>
    </w:p>
    <w:p>
      <w:pPr>
        <w:pStyle w:val="BodyText"/>
      </w:pPr>
      <w:r>
        <w:rPr>
          <w:bCs/>
          <w:b/>
        </w:rPr>
        <w:t xml:space="preserve">Accepted by Kanto Industrial Systems K.K.</w:t>
      </w:r>
    </w:p>
    <w:p>
      <w:pPr>
        <w:pStyle w:val="BodyText"/>
      </w:pPr>
      <w:r>
        <w:t xml:space="preserve">Name: Hiroshi Tanaka</w:t>
      </w:r>
    </w:p>
    <w:p>
      <w:pPr>
        <w:pStyle w:val="BodyText"/>
      </w:pPr>
      <w:r>
        <w:t xml:space="preserve">Title: General Manager, Facilities Division</w:t>
      </w:r>
    </w:p>
    <w:p>
      <w:pPr>
        <w:pStyle w:val="BodyText"/>
      </w:pPr>
      <w:r>
        <w:t xml:space="preserve">Date: ______________________</w:t>
      </w:r>
    </w:p>
    <w:p>
      <w:pPr>
        <w:pStyle w:val="BodyText"/>
      </w:pPr>
      <w:r>
        <w:t xml:space="preserve">Signature: ______________________</w:t>
      </w:r>
    </w:p>
    <w:p>
      <w:pPr>
        <w:pStyle w:val="BodyText"/>
      </w:pPr>
      <w:r>
        <w:t xml:space="preserve">This Quotation Estimate (No. QTE-2025-TKY-0487) is issued exclusively for the Mechanical Engineer services to be performed in Japan Tokyo. It does not constitute a binding contract until countersigned by both parties. Technivex Engineering Consultancy Co., Ltd. reserves the right to amend terms upon mutual written agreement. © 2025 Technivex Engineering Consultancy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Japan Tokyo</dc:title>
  <dc:creator/>
  <dc:language>en</dc:language>
  <cp:keywords/>
  <dcterms:created xsi:type="dcterms:W3CDTF">2026-10-10T03:41:35Z</dcterms:created>
  <dcterms:modified xsi:type="dcterms:W3CDTF">2026-10-10T03:41:35Z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