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Mechanical Engineering Services</w:t>
      </w:r>
    </w:p>
    <w:p>
      <w:pPr>
        <w:pStyle w:val="BodyText"/>
      </w:pPr>
      <w:r>
        <w:t xml:space="preserve">Prepared for Projects in Qatar Doha</w:t>
      </w:r>
    </w:p>
    <w:bookmarkEnd w:id="20"/>
    <w:p>
      <w:pPr>
        <w:pStyle w:val="BodyText"/>
      </w:pPr>
      <w:r>
        <w:rPr>
          <w:bCs/>
          <w:b/>
        </w:rPr>
        <w:t xml:space="preserve">From:</w:t>
      </w:r>
      <w:r>
        <w:br/>
      </w:r>
      <w:r>
        <w:t xml:space="preserve">Gulf Technical Engineering Solutions LLC</w:t>
      </w:r>
      <w:r>
        <w:br/>
      </w:r>
      <w:r>
        <w:t xml:space="preserve">Office 412, Level 4, Al Rayyan Tower</w:t>
      </w:r>
      <w:r>
        <w:br/>
      </w:r>
      <w:r>
        <w:t xml:space="preserve">Al Rayyan, Doha, Qatar</w:t>
      </w:r>
      <w:r>
        <w:br/>
      </w:r>
      <w:r>
        <w:t xml:space="preserve">Tel: +974-4455-6677</w:t>
      </w:r>
      <w:r>
        <w:br/>
      </w:r>
      <w:r>
        <w:t xml:space="preserve">Email: quotations@gtqatar.com</w:t>
      </w:r>
    </w:p>
    <w:p>
      <w:pPr>
        <w:pStyle w:val="BodyText"/>
      </w:pPr>
      <w:r>
        <w:rPr>
          <w:bCs/>
          <w:b/>
        </w:rPr>
        <w:t xml:space="preserve">To:</w:t>
      </w:r>
      <w:r>
        <w:br/>
      </w:r>
      <w:r>
        <w:t xml:space="preserve">[Client Company Name]</w:t>
      </w:r>
      <w:r>
        <w:br/>
      </w:r>
      <w:r>
        <w:t xml:space="preserve">[Client Address]</w:t>
      </w:r>
      <w:r>
        <w:br/>
      </w:r>
      <w:r>
        <w:t xml:space="preserve">Doha, Qatar</w:t>
      </w:r>
      <w:r>
        <w:br/>
      </w:r>
      <w:r>
        <w:t xml:space="preserve">Attn: [Project Manager Name]</w:t>
      </w:r>
    </w:p>
    <w:p>
      <w:pPr>
        <w:pStyle w:val="BodyText"/>
      </w:pPr>
      <w:r>
        <w:rPr>
          <w:bCs/>
          <w:b/>
        </w:rPr>
        <w:t xml:space="preserve">Quotation Estimate No.:</w:t>
      </w:r>
      <w:r>
        <w:t xml:space="preserve"> </w:t>
      </w:r>
      <w:r>
        <w:t xml:space="preserve">QTE-2025-QD-0847</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Gulf Technical Engineering Solutions LLC to provide a comprehensive cost breakdown for the engagement of a qualified</w:t>
      </w:r>
      <w:r>
        <w:t xml:space="preserve"> </w:t>
      </w:r>
      <w:r>
        <w:t xml:space="preserve">Mechanical Engineer</w:t>
      </w:r>
      <w:r>
        <w:t xml:space="preserve"> </w:t>
      </w:r>
      <w:r>
        <w:t xml:space="preserve">to deliver specialized engineering services for a commercial construction and industrial facility project located in</w:t>
      </w:r>
      <w:r>
        <w:t xml:space="preserve"> </w:t>
      </w:r>
      <w:r>
        <w:t xml:space="preserve">Qatar Doha</w:t>
      </w:r>
      <w:r>
        <w:t xml:space="preserve">. This document outlines the full scope of work, professional fees, applicable taxes, and all associated terms governing the engagement. The</w:t>
      </w:r>
      <w:r>
        <w:t xml:space="preserve"> </w:t>
      </w:r>
      <w:r>
        <w:t xml:space="preserve">Mechanical Engineer</w:t>
      </w:r>
      <w:r>
        <w:t xml:space="preserve"> </w:t>
      </w:r>
      <w:r>
        <w:t xml:space="preserve">services described herein are tailored specifically to meet the regulatory standards, climate conditions, and infrastructure requirements unique to the</w:t>
      </w:r>
      <w:r>
        <w:t xml:space="preserve"> </w:t>
      </w:r>
      <w:r>
        <w:t xml:space="preserve">Qatar Doha</w:t>
      </w:r>
      <w:r>
        <w:t xml:space="preserve"> </w:t>
      </w:r>
      <w:r>
        <w:t xml:space="preserve">metropolitan area and the broader State of Qatar.</w:t>
      </w:r>
    </w:p>
    <w:p>
      <w:pPr>
        <w:pStyle w:val="BodyText"/>
      </w:pPr>
      <w:r>
        <w:t xml:space="preserve">2. Scope of Mechanical Engineer Services</w:t>
      </w:r>
    </w:p>
    <w:p>
      <w:pPr>
        <w:pStyle w:val="BodyText"/>
      </w:pPr>
      <w:r>
        <w:t xml:space="preserve">The</w:t>
      </w:r>
      <w:r>
        <w:t xml:space="preserve"> </w:t>
      </w:r>
      <w:r>
        <w:t xml:space="preserve">Mechanical Engineer</w:t>
      </w:r>
      <w:r>
        <w:t xml:space="preserve"> </w:t>
      </w:r>
      <w:r>
        <w:t xml:space="preserve">engaged under this</w:t>
      </w:r>
      <w:r>
        <w:t xml:space="preserve"> </w:t>
      </w:r>
      <w:r>
        <w:t xml:space="preserve">Quotation Estimate</w:t>
      </w:r>
      <w:r>
        <w:t xml:space="preserve"> </w:t>
      </w:r>
      <w:r>
        <w:t xml:space="preserve">shall perform the following duties and deliverables for the project in</w:t>
      </w:r>
      <w:r>
        <w:t xml:space="preserve"> </w:t>
      </w:r>
      <w:r>
        <w:t xml:space="preserve">Qatar Doha</w:t>
      </w:r>
      <w:r>
        <w:t xml:space="preserve">:</w:t>
      </w:r>
    </w:p>
    <w:p>
      <w:pPr>
        <w:numPr>
          <w:ilvl w:val="0"/>
          <w:numId w:val="1001"/>
        </w:numPr>
        <w:pStyle w:val="Compact"/>
      </w:pPr>
      <w:r>
        <w:t xml:space="preserve">Design and specification of HVAC (Heating, Ventilation, and Air Conditioning) systems compliant with Qatar Building Code and ASHRAE standards, accounting for the extreme summer temperatures exceeding 48°C in</w:t>
      </w:r>
      <w:r>
        <w:t xml:space="preserve"> </w:t>
      </w:r>
      <w:r>
        <w:t xml:space="preserve">Qatar Doha</w:t>
      </w:r>
      <w:r>
        <w:t xml:space="preserve">.</w:t>
      </w:r>
    </w:p>
    <w:p>
      <w:pPr>
        <w:numPr>
          <w:ilvl w:val="0"/>
          <w:numId w:val="1001"/>
        </w:numPr>
        <w:pStyle w:val="Compact"/>
      </w:pPr>
      <w:r>
        <w:t xml:space="preserve">Development of mechanical drawings, load calculations, and system schematics for the facility's central plant room, including chillers, cooling towers, and pump systems.</w:t>
      </w:r>
    </w:p>
    <w:p>
      <w:pPr>
        <w:numPr>
          <w:ilvl w:val="0"/>
          <w:numId w:val="1001"/>
        </w:numPr>
        <w:pStyle w:val="Compact"/>
      </w:pPr>
      <w:r>
        <w:t xml:space="preserve">Fire protection system design including sprinkler networks, smoke extraction systems, and fire pump specifications in accordance with Qatar Civil Defence regulations.</w:t>
      </w:r>
    </w:p>
    <w:p>
      <w:pPr>
        <w:numPr>
          <w:ilvl w:val="0"/>
          <w:numId w:val="1001"/>
        </w:numPr>
        <w:pStyle w:val="Compact"/>
      </w:pPr>
      <w:r>
        <w:t xml:space="preserve">Plumbing and drainage system design, including water supply networks, sewage treatment connections, and greywater recycling systems.</w:t>
      </w:r>
    </w:p>
    <w:p>
      <w:pPr>
        <w:numPr>
          <w:ilvl w:val="0"/>
          <w:numId w:val="1001"/>
        </w:numPr>
        <w:pStyle w:val="Compact"/>
      </w:pPr>
      <w:r>
        <w:t xml:space="preserve">Energy efficiency analysis and sustainability assessment aligned with Qatar National Vision 2030 environmental objectives.</w:t>
      </w:r>
    </w:p>
    <w:p>
      <w:pPr>
        <w:numPr>
          <w:ilvl w:val="0"/>
          <w:numId w:val="1001"/>
        </w:numPr>
        <w:pStyle w:val="Compact"/>
      </w:pPr>
      <w:r>
        <w:t xml:space="preserve">Site supervision and construction phase support for a minimum of 120 working days at the</w:t>
      </w:r>
      <w:r>
        <w:t xml:space="preserve"> </w:t>
      </w:r>
      <w:r>
        <w:t xml:space="preserve">Qatar Doha</w:t>
      </w:r>
      <w:r>
        <w:t xml:space="preserve"> </w:t>
      </w:r>
      <w:r>
        <w:t xml:space="preserve">project site.</w:t>
      </w:r>
    </w:p>
    <w:p>
      <w:pPr>
        <w:numPr>
          <w:ilvl w:val="0"/>
          <w:numId w:val="1001"/>
        </w:numPr>
        <w:pStyle w:val="Compact"/>
      </w:pPr>
      <w:r>
        <w:t xml:space="preserve">Preparation of as-built documentation, operation and maintenance manuals, and commissioning reports.</w:t>
      </w:r>
    </w:p>
    <w:p>
      <w:pPr>
        <w:numPr>
          <w:ilvl w:val="0"/>
          <w:numId w:val="1001"/>
        </w:numPr>
        <w:pStyle w:val="Compact"/>
      </w:pPr>
      <w:r>
        <w:t xml:space="preserve">Coordination with local authorities, municipal inspectors, and utility providers within the</w:t>
      </w:r>
      <w:r>
        <w:t xml:space="preserve"> </w:t>
      </w:r>
      <w:r>
        <w:t xml:space="preserve">Qatar Doha</w:t>
      </w:r>
      <w:r>
        <w:t xml:space="preserve"> </w:t>
      </w:r>
      <w:r>
        <w:t xml:space="preserve">jurisdiction.</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Mechanical Engineer – Design &amp; Specification Phase (HVAC, Fire, Plumbing)</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Mechanical Engineer – Construction Phase Site Supervision (Qatar Doha site)</w:t>
            </w:r>
          </w:p>
        </w:tc>
        <w:tc>
          <w:tcPr/>
          <w:p>
            <w:pPr>
              <w:pStyle w:val="Compact"/>
              <w:jc w:val="left"/>
            </w:pPr>
            <w:r>
              <w:t xml:space="preserve">120 Days</w:t>
            </w:r>
          </w:p>
        </w:tc>
        <w:tc>
          <w:tcPr/>
          <w:p>
            <w:pPr>
              <w:pStyle w:val="Compact"/>
              <w:jc w:val="left"/>
            </w:pPr>
            <w:r>
              <w:t xml:space="preserve">1,250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Energy Modelling &amp; Sustainability Report (Qatar Doha climate data)</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Authority Submittals &amp; Permit Coordination (Qatar Doha Municipality)</w:t>
            </w:r>
          </w:p>
        </w:tc>
        <w:tc>
          <w:tcPr/>
          <w:p>
            <w:pPr>
              <w:pStyle w:val="Compact"/>
              <w:jc w:val="left"/>
            </w:pPr>
            <w:r>
              <w:t xml:space="preserve">1 Lot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Commissioning, Testing &amp; As-Built Documentation</w:t>
            </w:r>
          </w:p>
        </w:tc>
        <w:tc>
          <w:tcPr/>
          <w:p>
            <w:pPr>
              <w:pStyle w:val="Compact"/>
              <w:jc w:val="left"/>
            </w:pPr>
            <w:r>
              <w:t xml:space="preserve">1 Lot</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06</w:t>
            </w:r>
          </w:p>
        </w:tc>
        <w:tc>
          <w:tcPr/>
          <w:p>
            <w:pPr>
              <w:pStyle w:val="Compact"/>
              <w:jc w:val="left"/>
            </w:pPr>
            <w:r>
              <w:t xml:space="preserve">Travel, Accommodation &amp; Local Transport (Qatar Doha area)</w:t>
            </w:r>
          </w:p>
        </w:tc>
        <w:tc>
          <w:tcPr/>
          <w:p>
            <w:pPr>
              <w:pStyle w:val="Compact"/>
              <w:jc w:val="left"/>
            </w:pPr>
            <w:r>
              <w:t xml:space="preserve">120 Days</w:t>
            </w:r>
          </w:p>
        </w:tc>
        <w:tc>
          <w:tcPr/>
          <w:p>
            <w:pPr>
              <w:pStyle w:val="Compact"/>
              <w:jc w:val="left"/>
            </w:pPr>
            <w:r>
              <w:t xml:space="preserve">450</w:t>
            </w:r>
          </w:p>
        </w:tc>
        <w:tc>
          <w:tcPr/>
          <w:p>
            <w:pPr>
              <w:pStyle w:val="Compact"/>
              <w:jc w:val="left"/>
            </w:pPr>
            <w:r>
              <w:t xml:space="preserve">54,000</w:t>
            </w:r>
          </w:p>
        </w:tc>
      </w:tr>
      <w:tr>
        <w:tc>
          <w:tcPr/>
          <w:p>
            <w:pPr>
              <w:pStyle w:val="Compact"/>
              <w:jc w:val="left"/>
            </w:pPr>
            <w:r>
              <w:t xml:space="preserve">07</w:t>
            </w:r>
          </w:p>
        </w:tc>
        <w:tc>
          <w:tcPr/>
          <w:p>
            <w:pPr>
              <w:pStyle w:val="Compact"/>
              <w:jc w:val="left"/>
            </w:pPr>
            <w:r>
              <w:t xml:space="preserve">Software Licences &amp; Technical Reference Materials</w:t>
            </w:r>
          </w:p>
        </w:tc>
        <w:tc>
          <w:tcPr/>
          <w:p>
            <w:pPr>
              <w:pStyle w:val="Compact"/>
              <w:jc w:val="left"/>
            </w:pPr>
            <w:r>
              <w:t xml:space="preserve">1 Lot</w:t>
            </w:r>
          </w:p>
        </w:tc>
        <w:tc>
          <w:tcPr/>
          <w:p>
            <w:pPr>
              <w:pStyle w:val="Compact"/>
              <w:jc w:val="left"/>
            </w:pPr>
            <w:r>
              <w:t xml:space="preserve">18,500</w:t>
            </w:r>
          </w:p>
        </w:tc>
        <w:tc>
          <w:tcPr/>
          <w:p>
            <w:pPr>
              <w:pStyle w:val="Compact"/>
              <w:jc w:val="left"/>
            </w:pPr>
            <w:r>
              <w:t xml:space="preserve">18,500</w:t>
            </w:r>
          </w:p>
        </w:tc>
      </w:tr>
      <w:tr>
        <w:tc>
          <w:tcPr>
            <w:gridSpan w:val="4"/>
          </w:tcPr>
          <w:p>
            <w:pPr>
              <w:pStyle w:val="Compact"/>
              <w:jc w:val="left"/>
            </w:pPr>
            <w:r>
              <w:t xml:space="preserve">Subtotal (QAR)</w:t>
            </w:r>
          </w:p>
        </w:tc>
        <w:tc>
          <w:tcPr/>
          <w:p>
            <w:pPr>
              <w:pStyle w:val="Compact"/>
              <w:jc w:val="left"/>
            </w:pPr>
            <w:r>
              <w:t xml:space="preserve">542,500</w:t>
            </w:r>
          </w:p>
        </w:tc>
      </w:tr>
      <w:tr>
        <w:tc>
          <w:tcPr>
            <w:gridSpan w:val="4"/>
          </w:tcPr>
          <w:p>
            <w:pPr>
              <w:pStyle w:val="Compact"/>
              <w:jc w:val="left"/>
            </w:pPr>
            <w:r>
              <w:t xml:space="preserve">VAT @ 5% (Qatar Standard Rate)</w:t>
            </w:r>
          </w:p>
        </w:tc>
        <w:tc>
          <w:tcPr/>
          <w:p>
            <w:pPr>
              <w:pStyle w:val="Compact"/>
              <w:jc w:val="left"/>
            </w:pPr>
            <w:r>
              <w:t xml:space="preserve">27,125</w:t>
            </w:r>
          </w:p>
        </w:tc>
      </w:tr>
      <w:tr>
        <w:tc>
          <w:tcPr>
            <w:gridSpan w:val="4"/>
          </w:tcPr>
          <w:p>
            <w:pPr>
              <w:pStyle w:val="Compact"/>
              <w:jc w:val="left"/>
            </w:pPr>
            <w:r>
              <w:rPr>
                <w:bCs/>
                <w:b/>
              </w:rPr>
              <w:t xml:space="preserve">Grand Total (QAR)</w:t>
            </w:r>
          </w:p>
        </w:tc>
        <w:tc>
          <w:tcPr/>
          <w:p>
            <w:pPr>
              <w:pStyle w:val="Compact"/>
              <w:jc w:val="left"/>
            </w:pPr>
            <w:r>
              <w:rPr>
                <w:bCs/>
                <w:b/>
              </w:rPr>
              <w:t xml:space="preserve">569,625</w:t>
            </w:r>
          </w:p>
        </w:tc>
      </w:tr>
    </w:tbl>
    <w:p>
      <w:pPr>
        <w:pStyle w:val="BodyText"/>
      </w:pPr>
      <w:r>
        <w:t xml:space="preserve">4. Payment Terms</w:t>
      </w:r>
    </w:p>
    <w:p>
      <w:pPr>
        <w:pStyle w:val="BodyText"/>
      </w:pPr>
      <w:r>
        <w:t xml:space="preserve">Payment for the services outlined in this</w:t>
      </w:r>
      <w:r>
        <w:t xml:space="preserve"> </w:t>
      </w:r>
      <w:r>
        <w:t xml:space="preserve">Quotation Estimate</w:t>
      </w:r>
      <w:r>
        <w:t xml:space="preserve"> </w:t>
      </w:r>
      <w:r>
        <w:t xml:space="preserve">shall be made in the following instalments, all denominated in Qatari Riyal (QAR):</w:t>
      </w:r>
    </w:p>
    <w:p>
      <w:pPr>
        <w:numPr>
          <w:ilvl w:val="0"/>
          <w:numId w:val="1002"/>
        </w:numPr>
        <w:pStyle w:val="Compact"/>
      </w:pPr>
      <w:r>
        <w:rPr>
          <w:bCs/>
          <w:b/>
        </w:rPr>
        <w:t xml:space="preserve">30%</w:t>
      </w:r>
      <w:r>
        <w:t xml:space="preserve"> </w:t>
      </w:r>
      <w:r>
        <w:t xml:space="preserve">upon execution of the service agreement and receipt of this</w:t>
      </w:r>
      <w:r>
        <w:t xml:space="preserve"> </w:t>
      </w:r>
      <w:r>
        <w:t xml:space="preserve">Quotation Estimate</w:t>
      </w:r>
      <w:r>
        <w:t xml:space="preserve"> </w:t>
      </w:r>
      <w:r>
        <w:t xml:space="preserve">acceptance.</w:t>
      </w:r>
    </w:p>
    <w:p>
      <w:pPr>
        <w:numPr>
          <w:ilvl w:val="0"/>
          <w:numId w:val="1002"/>
        </w:numPr>
        <w:pStyle w:val="Compact"/>
      </w:pPr>
      <w:r>
        <w:rPr>
          <w:bCs/>
          <w:b/>
        </w:rPr>
        <w:t xml:space="preserve">40%</w:t>
      </w:r>
      <w:r>
        <w:t xml:space="preserve"> </w:t>
      </w:r>
      <w:r>
        <w:t xml:space="preserve">upon completion and approval of the design and specification phase deliverables.</w:t>
      </w:r>
    </w:p>
    <w:p>
      <w:pPr>
        <w:numPr>
          <w:ilvl w:val="0"/>
          <w:numId w:val="1002"/>
        </w:numPr>
        <w:pStyle w:val="Compact"/>
      </w:pPr>
      <w:r>
        <w:rPr>
          <w:bCs/>
          <w:b/>
        </w:rPr>
        <w:t xml:space="preserve">20%</w:t>
      </w:r>
      <w:r>
        <w:t xml:space="preserve"> </w:t>
      </w:r>
      <w:r>
        <w:t xml:space="preserve">upon completion of construction phase supervision in</w:t>
      </w:r>
      <w:r>
        <w:t xml:space="preserve"> </w:t>
      </w:r>
      <w:r>
        <w:t xml:space="preserve">Qatar Doha</w:t>
      </w:r>
      <w:r>
        <w:t xml:space="preserve">.</w:t>
      </w:r>
    </w:p>
    <w:p>
      <w:pPr>
        <w:numPr>
          <w:ilvl w:val="0"/>
          <w:numId w:val="1002"/>
        </w:numPr>
        <w:pStyle w:val="Compact"/>
      </w:pPr>
      <w:r>
        <w:rPr>
          <w:bCs/>
          <w:b/>
        </w:rPr>
        <w:t xml:space="preserve">10%</w:t>
      </w:r>
      <w:r>
        <w:t xml:space="preserve"> </w:t>
      </w:r>
      <w:r>
        <w:t xml:space="preserve">upon final handover of as-built documentation and commissioning reports.</w:t>
      </w:r>
    </w:p>
    <w:p>
      <w:pPr>
        <w:pStyle w:val="FirstParagraph"/>
      </w:pPr>
      <w:r>
        <w:t xml:space="preserve">All payments shall be made via bank transfer to the account of Gulf Technical Engineering Solutions LLC, Bank of Qatar, within 14 calendar days of invoice issuance. Late payments shall attract a penalty of 1.5% per month as per Qatar commercial law.</w:t>
      </w:r>
    </w:p>
    <w:p>
      <w:pPr>
        <w:pStyle w:val="BodyText"/>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Beyond this period, rates may be revised to reflect market conditions in</w:t>
      </w:r>
      <w:r>
        <w:t xml:space="preserve"> </w:t>
      </w:r>
      <w:r>
        <w:t xml:space="preserve">Qatar Doha</w:t>
      </w:r>
      <w:r>
        <w:t xml:space="preserve">.</w:t>
      </w:r>
    </w:p>
    <w:p>
      <w:pPr>
        <w:numPr>
          <w:ilvl w:val="0"/>
          <w:numId w:val="1003"/>
        </w:numPr>
        <w:pStyle w:val="Compact"/>
      </w:pPr>
      <w:r>
        <w:t xml:space="preserve">The</w:t>
      </w:r>
      <w:r>
        <w:t xml:space="preserve"> </w:t>
      </w:r>
      <w:r>
        <w:t xml:space="preserve">Mechanical Engineer</w:t>
      </w:r>
      <w:r>
        <w:t xml:space="preserve"> </w:t>
      </w:r>
      <w:r>
        <w:t xml:space="preserve">shall hold valid professional registration with the Qatar Engineers Society (QES) and possess a minimum of 12 years of relevant experience in commercial and industrial projects.</w:t>
      </w:r>
    </w:p>
    <w:p>
      <w:pPr>
        <w:numPr>
          <w:ilvl w:val="0"/>
          <w:numId w:val="1003"/>
        </w:numPr>
        <w:pStyle w:val="Compact"/>
      </w:pPr>
      <w:r>
        <w:t xml:space="preserve">All work shall comply with the Qatar Building Code, Qatar Civil Defence regulations, and applicable international standards (ASME, ASHRAE, NFPA).</w:t>
      </w:r>
    </w:p>
    <w:p>
      <w:pPr>
        <w:numPr>
          <w:ilvl w:val="0"/>
          <w:numId w:val="1003"/>
        </w:numPr>
        <w:pStyle w:val="Compact"/>
      </w:pPr>
      <w:r>
        <w:t xml:space="preserve">The</w:t>
      </w:r>
      <w:r>
        <w:t xml:space="preserve"> </w:t>
      </w:r>
      <w:r>
        <w:t xml:space="preserve">Mechanical Engineer</w:t>
      </w:r>
      <w:r>
        <w:t xml:space="preserve"> </w:t>
      </w:r>
      <w:r>
        <w:t xml:space="preserve">shall maintain professional indemnity insurance with a minimum coverage of QAR 5,000,000 for the duration of the project in</w:t>
      </w:r>
      <w:r>
        <w:t xml:space="preserve"> </w:t>
      </w:r>
      <w:r>
        <w:t xml:space="preserve">Qatar Doha</w:t>
      </w:r>
      <w:r>
        <w:t xml:space="preserve">.</w:t>
      </w:r>
    </w:p>
    <w:p>
      <w:pPr>
        <w:numPr>
          <w:ilvl w:val="0"/>
          <w:numId w:val="1003"/>
        </w:numPr>
        <w:pStyle w:val="Compact"/>
      </w:pPr>
      <w:r>
        <w:t xml:space="preserve">Any changes to the scope of work beyond the parameters defined in this</w:t>
      </w:r>
      <w:r>
        <w:t xml:space="preserve"> </w:t>
      </w:r>
      <w:r>
        <w:t xml:space="preserve">Quotation Estimate</w:t>
      </w:r>
      <w:r>
        <w:t xml:space="preserve"> </w:t>
      </w:r>
      <w:r>
        <w:t xml:space="preserve">shall be subject to a separate variation order and additional cost assessment.</w:t>
      </w:r>
    </w:p>
    <w:p>
      <w:pPr>
        <w:numPr>
          <w:ilvl w:val="0"/>
          <w:numId w:val="1003"/>
        </w:numPr>
        <w:pStyle w:val="Compact"/>
      </w:pPr>
      <w:r>
        <w:t xml:space="preserve">Confidentiality: All project data, drawings, and proprietary information exchanged during the engagement shall remain the exclusive property of the client. The</w:t>
      </w:r>
      <w:r>
        <w:t xml:space="preserve"> </w:t>
      </w:r>
      <w:r>
        <w:t xml:space="preserve">Mechanical Engineer</w:t>
      </w:r>
      <w:r>
        <w:t xml:space="preserve"> </w:t>
      </w:r>
      <w:r>
        <w:t xml:space="preserve">shall not disclose such information to third parties without written consent.</w:t>
      </w:r>
    </w:p>
    <w:p>
      <w:pPr>
        <w:numPr>
          <w:ilvl w:val="0"/>
          <w:numId w:val="1003"/>
        </w:numPr>
        <w:pStyle w:val="Compact"/>
      </w:pPr>
      <w:r>
        <w:t xml:space="preserve">Disputes arising from this</w:t>
      </w:r>
      <w:r>
        <w:t xml:space="preserve"> </w:t>
      </w:r>
      <w:r>
        <w:t xml:space="preserve">Quotation Estimate</w:t>
      </w:r>
      <w:r>
        <w:t xml:space="preserve"> </w:t>
      </w:r>
      <w:r>
        <w:t xml:space="preserve">or the resulting service agreement shall be resolved through arbitration in Doha, Qatar, in accordance with the Qatar Arbitration Law.</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Mechanical Engineer</w:t>
      </w:r>
      <w:r>
        <w:t xml:space="preserve"> </w:t>
      </w:r>
      <w:r>
        <w:t xml:space="preserve">services in</w:t>
      </w:r>
      <w:r>
        <w:t xml:space="preserve"> </w:t>
      </w:r>
      <w:r>
        <w:t xml:space="preserve">Qatar Doha</w:t>
      </w:r>
      <w:r>
        <w:t xml:space="preserve"> </w:t>
      </w:r>
      <w:r>
        <w:t xml:space="preserve">and agrees to the terms, conditions, and pricing set forth herein. This signature constitutes formal acceptance of the</w:t>
      </w:r>
      <w:r>
        <w:t xml:space="preserve"> </w:t>
      </w:r>
      <w:r>
        <w:t xml:space="preserve">Quotation Estimate</w:t>
      </w:r>
      <w:r>
        <w:t xml:space="preserve"> </w:t>
      </w:r>
      <w:r>
        <w:t xml:space="preserve">and authorizes the commencement of the described engineering services.</w:t>
      </w:r>
    </w:p>
    <w:p>
      <w:pPr>
        <w:pStyle w:val="BodyText"/>
      </w:pPr>
      <w:r>
        <w:rPr>
          <w:bCs/>
          <w:b/>
        </w:rPr>
        <w:t xml:space="preserve">For and on behalf of:</w:t>
      </w:r>
      <w:r>
        <w:br/>
      </w:r>
      <w:r>
        <w:t xml:space="preserve">Gulf Technical Engineering Solutions LLC</w:t>
      </w:r>
    </w:p>
    <w:p>
      <w:pPr>
        <w:pStyle w:val="BodyText"/>
      </w:pPr>
      <w:r>
        <w:t xml:space="preserve">Name: _________________________</w:t>
      </w:r>
      <w:r>
        <w:br/>
      </w:r>
      <w:r>
        <w:t xml:space="preserve">Title: Managing Director</w:t>
      </w:r>
      <w:r>
        <w:br/>
      </w:r>
      <w:r>
        <w:t xml:space="preserve">Date: _________________________</w:t>
      </w:r>
    </w:p>
    <w:p>
      <w:pPr>
        <w:pStyle w:val="BodyText"/>
      </w:pPr>
      <w:r>
        <w:rPr>
          <w:bCs/>
          <w:b/>
        </w:rPr>
        <w:t xml:space="preserve">Accepted by (Client):</w:t>
      </w:r>
      <w:r>
        <w:br/>
      </w:r>
      <w:r>
        <w:t xml:space="preserve">[Client Company Name]</w:t>
      </w:r>
    </w:p>
    <w:p>
      <w:pPr>
        <w:pStyle w:val="BodyText"/>
      </w:pPr>
      <w:r>
        <w:t xml:space="preserve">Name: _________________________</w:t>
      </w:r>
      <w:r>
        <w:br/>
      </w:r>
      <w:r>
        <w:t xml:space="preserve">Title: _________________________</w:t>
      </w:r>
      <w:r>
        <w:br/>
      </w:r>
      <w:r>
        <w:t xml:space="preserve">Date: _________________________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QTE-2025-QD-0847) is prepared exclusively for the named client and the specified project location in</w:t>
      </w:r>
      <w:r>
        <w:t xml:space="preserve"> </w:t>
      </w:r>
      <w:r>
        <w:t xml:space="preserve">Qatar Doha</w:t>
      </w:r>
      <w:r>
        <w:t xml:space="preserve">. It may not be reproduced, distributed, or used for any other purpose without the prior written consent of Gulf Technical Engineering Solutions LLC. All rates are inclusive of the</w:t>
      </w:r>
      <w:r>
        <w:t xml:space="preserve"> </w:t>
      </w:r>
      <w:r>
        <w:t xml:space="preserve">Mechanical Engineer</w:t>
      </w:r>
      <w:r>
        <w:t xml:space="preserve">'s professional expertise, project management oversight, and coordination with local</w:t>
      </w:r>
      <w:r>
        <w:t xml:space="preserve"> </w:t>
      </w:r>
      <w:r>
        <w:t xml:space="preserve">Qatar Doha</w:t>
      </w:r>
      <w:r>
        <w:t xml:space="preserve"> </w:t>
      </w:r>
      <w:r>
        <w:t xml:space="preserve">regulatory bodies. For queries or amendments, please contact our quotations department at quotations@gtqatar.com or +974-4455-6677.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Qatar Doha</dc:title>
  <dc:creator/>
  <dc:language>en</dc:language>
  <cp:keywords/>
  <dcterms:created xsi:type="dcterms:W3CDTF">2026-10-10T01:02:58Z</dcterms:created>
  <dcterms:modified xsi:type="dcterms:W3CDTF">2026-10-10T01:02:58Z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