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rPr>
          <w:bCs/>
          <w:b/>
        </w:rPr>
        <w:t xml:space="preserve">Professional Mechanical Engineering Services</w:t>
      </w:r>
    </w:p>
    <w:p>
      <w:pPr>
        <w:pStyle w:val="BodyText"/>
      </w:pPr>
      <w:r>
        <w:t xml:space="preserve">Prepared for Operations in Russia Saint Petersburg</w:t>
      </w:r>
    </w:p>
    <w:p>
      <w:pPr>
        <w:pStyle w:val="BodyText"/>
      </w:pPr>
      <w:r>
        <w:t xml:space="preserve">Ref: QTE-SPB-2025-0417 | Currency: Russian Ruble (RUB)</w:t>
      </w:r>
    </w:p>
    <w:bookmarkEnd w:id="20"/>
    <w:p>
      <w:pPr>
        <w:pStyle w:val="BodyText"/>
      </w:pPr>
      <w:r>
        <w:rPr>
          <w:bCs/>
          <w:b/>
        </w:rPr>
        <w:t xml:space="preserve">Prepared By:</w:t>
      </w:r>
      <w:r>
        <w:br/>
      </w:r>
      <w:r>
        <w:t xml:space="preserve">Alexei V. Petrov, P.Eng.</w:t>
      </w:r>
      <w:r>
        <w:br/>
      </w:r>
      <w:r>
        <w:t xml:space="preserve">Senior Mechanical Engineer</w:t>
      </w:r>
      <w:r>
        <w:br/>
      </w:r>
      <w:r>
        <w:t xml:space="preserve">Petrov Engineering Consultancy LLC</w:t>
      </w:r>
      <w:r>
        <w:br/>
      </w:r>
      <w:r>
        <w:t xml:space="preserve">44 Liteyny Avenue, Saint Petersburg, 191025, Russia</w:t>
      </w:r>
    </w:p>
    <w:p>
      <w:pPr>
        <w:pStyle w:val="BodyText"/>
      </w:pPr>
      <w:r>
        <w:rPr>
          <w:bCs/>
          <w:b/>
        </w:rPr>
        <w:t xml:space="preserve">Prepared For:</w:t>
      </w:r>
      <w:r>
        <w:br/>
      </w:r>
      <w:r>
        <w:t xml:space="preserve">Baltic Industrial Systems JSC</w:t>
      </w:r>
      <w:r>
        <w:br/>
      </w:r>
      <w:r>
        <w:t xml:space="preserve">Attn: Director of Engineering</w:t>
      </w:r>
      <w:r>
        <w:br/>
      </w:r>
      <w:r>
        <w:t xml:space="preserve">12 Moskovsky Prospekt, Saint Petersburg, 190000, Russia</w:t>
      </w:r>
    </w:p>
    <w:p>
      <w:pPr>
        <w:pStyle w:val="BodyText"/>
      </w:pPr>
      <w:r>
        <w:rPr>
          <w:bCs/>
          <w:b/>
        </w:rPr>
        <w:t xml:space="preserve">Date of Issue:</w:t>
      </w:r>
      <w:r>
        <w:t xml:space="preserve"> </w:t>
      </w:r>
      <w:r>
        <w:t xml:space="preserve">15 June 2025</w:t>
      </w:r>
      <w:r>
        <w:br/>
      </w:r>
      <w:r>
        <w:rPr>
          <w:bCs/>
          <w:b/>
        </w:rPr>
        <w:t xml:space="preserve">Quotation Valid Until:</w:t>
      </w:r>
      <w:r>
        <w:t xml:space="preserve"> </w:t>
      </w:r>
      <w:r>
        <w:t xml:space="preserve">15 September 2025</w:t>
      </w:r>
    </w:p>
    <w:p>
      <w:pPr>
        <w:pStyle w:val="BodyText"/>
      </w:pPr>
      <w:r>
        <w:rPr>
          <w:bCs/>
          <w:b/>
        </w:rPr>
        <w:t xml:space="preserve">Project Reference:</w:t>
      </w:r>
      <w:r>
        <w:t xml:space="preserve"> </w:t>
      </w:r>
      <w:r>
        <w:t xml:space="preserve">SPB-MECH-2025-089</w:t>
      </w:r>
      <w:r>
        <w:br/>
      </w:r>
      <w:r>
        <w:rPr>
          <w:bCs/>
          <w:b/>
        </w:rPr>
        <w:t xml:space="preserve">Service Location:</w:t>
      </w:r>
      <w:r>
        <w:t xml:space="preserve"> </w:t>
      </w:r>
      <w:r>
        <w:t xml:space="preserve">Russia Saint Petersburg</w:t>
      </w:r>
    </w:p>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issued by Petrov Engineering Consultancy LLC in response to the formal request for professional</w:t>
      </w:r>
      <w:r>
        <w:t xml:space="preserve"> </w:t>
      </w:r>
      <w:r>
        <w:t xml:space="preserve">Mechanical Engineer</w:t>
      </w:r>
      <w:r>
        <w:t xml:space="preserve"> </w:t>
      </w:r>
      <w:r>
        <w:t xml:space="preserve">services required by Baltic Industrial Systems JSC for the design, analysis, and commissioning of a new thermal processing facility located in the industrial district of Russia Saint Petersburg. This document outlines the full scope of engineering deliverables, associated costs, timelines, and contractual terms governing the engagement.</w:t>
      </w:r>
    </w:p>
    <w:p>
      <w:pPr>
        <w:pStyle w:val="BodyText"/>
      </w:pPr>
      <w:r>
        <w:t xml:space="preserve">The</w:t>
      </w:r>
      <w:r>
        <w:t xml:space="preserve"> </w:t>
      </w:r>
      <w:r>
        <w:t xml:space="preserve">Mechanical Engineer</w:t>
      </w:r>
      <w:r>
        <w:t xml:space="preserve"> </w:t>
      </w:r>
      <w:r>
        <w:t xml:space="preserve">services described herein encompass the complete mechanical design package for a 12,000 m² production hall, including structural steel framework, HVAC systems, process piping, pressure vessel design, and equipment foundation engineering. All work shall be performed in strict compliance with the Russian Federal Norms and Rules (SNiP), GOST standards, and the applicable regulations of the Federal Service for Environmental, Technological and Nuclear Supervision (Rostekhnadzor) as they pertain to the Saint Petersburg region.</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Mechanical Engineering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(RUB)</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Site survey and geotechnical assessment at the Russia Saint Petersburg project location, including soil bearing capacity analysis and foundation load mapping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Structural steel design and calculation for the production hall framework (12,000 m²), including load analysis, connection detailing, and fabrication drawings per GOST 27772</w:t>
            </w:r>
          </w:p>
        </w:tc>
        <w:tc>
          <w:tcPr/>
          <w:p>
            <w:pPr>
              <w:pStyle w:val="Compact"/>
              <w:jc w:val="left"/>
            </w:pPr>
            <w:r>
              <w:t xml:space="preserve">Lot</w:t>
            </w:r>
          </w:p>
        </w:tc>
        <w:tc>
          <w:tcPr/>
          <w:p>
            <w:pPr>
              <w:pStyle w:val="Compact"/>
              <w:jc w:val="left"/>
            </w:pPr>
            <w:r>
              <w:t xml:space="preserve">1</w:t>
            </w:r>
          </w:p>
        </w:tc>
        <w:tc>
          <w:tcPr/>
          <w:p>
            <w:pPr>
              <w:pStyle w:val="Compact"/>
              <w:jc w:val="left"/>
            </w:pPr>
            <w:r>
              <w:t xml:space="preserve">2,340,000</w:t>
            </w:r>
          </w:p>
        </w:tc>
        <w:tc>
          <w:tcPr/>
          <w:p>
            <w:pPr>
              <w:pStyle w:val="Compact"/>
              <w:jc w:val="left"/>
            </w:pPr>
            <w:r>
              <w:t xml:space="preserve">2,340,000</w:t>
            </w:r>
          </w:p>
        </w:tc>
      </w:tr>
      <w:tr>
        <w:tc>
          <w:tcPr/>
          <w:p>
            <w:pPr>
              <w:pStyle w:val="Compact"/>
              <w:jc w:val="left"/>
            </w:pPr>
            <w:r>
              <w:t xml:space="preserve">03</w:t>
            </w:r>
          </w:p>
        </w:tc>
        <w:tc>
          <w:tcPr/>
          <w:p>
            <w:pPr>
              <w:pStyle w:val="Compact"/>
              <w:jc w:val="left"/>
            </w:pPr>
            <w:r>
              <w:t xml:space="preserve">Design of HVAC and ventilation systems for the thermal processing zone, including air balance calculations, ductwork layout, and equipment selection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1,120,000</w:t>
            </w:r>
          </w:p>
        </w:tc>
        <w:tc>
          <w:tcPr/>
          <w:p>
            <w:pPr>
              <w:pStyle w:val="Compact"/>
              <w:jc w:val="left"/>
            </w:pPr>
            <w:r>
              <w:t xml:space="preserve">1,120,000</w:t>
            </w:r>
          </w:p>
        </w:tc>
      </w:tr>
      <w:tr>
        <w:tc>
          <w:tcPr/>
          <w:p>
            <w:pPr>
              <w:pStyle w:val="Compact"/>
              <w:jc w:val="left"/>
            </w:pPr>
            <w:r>
              <w:t xml:space="preserve">04</w:t>
            </w:r>
          </w:p>
        </w:tc>
        <w:tc>
          <w:tcPr/>
          <w:p>
            <w:pPr>
              <w:pStyle w:val="Compact"/>
              <w:jc w:val="left"/>
            </w:pPr>
            <w:r>
              <w:t xml:space="preserve">Process piping design (DN50–DN400), hydraulic calculations, isometric drawings, and stress analysis for high-temperature steam lines operating at 280°C</w:t>
            </w:r>
          </w:p>
        </w:tc>
        <w:tc>
          <w:tcPr/>
          <w:p>
            <w:pPr>
              <w:pStyle w:val="Compact"/>
              <w:jc w:val="left"/>
            </w:pPr>
            <w:r>
              <w:t xml:space="preserve">Lot</w:t>
            </w:r>
          </w:p>
        </w:tc>
        <w:tc>
          <w:tcPr/>
          <w:p>
            <w:pPr>
              <w:pStyle w:val="Compact"/>
              <w:jc w:val="left"/>
            </w:pPr>
            <w:r>
              <w:t xml:space="preserve">1</w:t>
            </w:r>
          </w:p>
        </w:tc>
        <w:tc>
          <w:tcPr/>
          <w:p>
            <w:pPr>
              <w:pStyle w:val="Compact"/>
              <w:jc w:val="left"/>
            </w:pPr>
            <w:r>
              <w:t xml:space="preserve">1,680,000</w:t>
            </w:r>
          </w:p>
        </w:tc>
        <w:tc>
          <w:tcPr/>
          <w:p>
            <w:pPr>
              <w:pStyle w:val="Compact"/>
              <w:jc w:val="left"/>
            </w:pPr>
            <w:r>
              <w:t xml:space="preserve">1,680,000</w:t>
            </w:r>
          </w:p>
        </w:tc>
      </w:tr>
      <w:tr>
        <w:tc>
          <w:tcPr/>
          <w:p>
            <w:pPr>
              <w:pStyle w:val="Compact"/>
              <w:jc w:val="left"/>
            </w:pPr>
            <w:r>
              <w:t xml:space="preserve">05</w:t>
            </w:r>
          </w:p>
        </w:tc>
        <w:tc>
          <w:tcPr/>
          <w:p>
            <w:pPr>
              <w:pStyle w:val="Compact"/>
              <w:jc w:val="left"/>
            </w:pPr>
            <w:r>
              <w:t xml:space="preserve">Pressure vessel design and certification documentation (3 units, 15 m³ each) in accordance with Rostekhnadzor requirements and GOST R 52630</w:t>
            </w:r>
          </w:p>
        </w:tc>
        <w:tc>
          <w:tcPr/>
          <w:p>
            <w:pPr>
              <w:pStyle w:val="Compact"/>
              <w:jc w:val="left"/>
            </w:pPr>
            <w:r>
              <w:t xml:space="preserve">Unit</w:t>
            </w:r>
          </w:p>
        </w:tc>
        <w:tc>
          <w:tcPr/>
          <w:p>
            <w:pPr>
              <w:pStyle w:val="Compact"/>
              <w:jc w:val="left"/>
            </w:pPr>
            <w:r>
              <w:t xml:space="preserve">3</w:t>
            </w:r>
          </w:p>
        </w:tc>
        <w:tc>
          <w:tcPr/>
          <w:p>
            <w:pPr>
              <w:pStyle w:val="Compact"/>
              <w:jc w:val="left"/>
            </w:pPr>
            <w:r>
              <w:t xml:space="preserve">720,000</w:t>
            </w:r>
          </w:p>
        </w:tc>
        <w:tc>
          <w:tcPr/>
          <w:p>
            <w:pPr>
              <w:pStyle w:val="Compact"/>
              <w:jc w:val="left"/>
            </w:pPr>
            <w:r>
              <w:t xml:space="preserve">2,160,000</w:t>
            </w:r>
          </w:p>
        </w:tc>
      </w:tr>
      <w:tr>
        <w:tc>
          <w:tcPr/>
          <w:p>
            <w:pPr>
              <w:pStyle w:val="Compact"/>
              <w:jc w:val="left"/>
            </w:pPr>
            <w:r>
              <w:t xml:space="preserve">06</w:t>
            </w:r>
          </w:p>
        </w:tc>
        <w:tc>
          <w:tcPr/>
          <w:p>
            <w:pPr>
              <w:pStyle w:val="Compact"/>
              <w:jc w:val="left"/>
            </w:pPr>
            <w:r>
              <w:t xml:space="preserve">Equipment foundation design, anchor bolt layout, and vibration isolation engineering for rotating machinery (pumps, compressors, fans)</w:t>
            </w:r>
          </w:p>
        </w:tc>
        <w:tc>
          <w:tcPr/>
          <w:p>
            <w:pPr>
              <w:pStyle w:val="Compact"/>
              <w:jc w:val="left"/>
            </w:pPr>
            <w:r>
              <w:t xml:space="preserve">Lot</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07</w:t>
            </w:r>
          </w:p>
        </w:tc>
        <w:tc>
          <w:tcPr/>
          <w:p>
            <w:pPr>
              <w:pStyle w:val="Compact"/>
              <w:jc w:val="left"/>
            </w:pPr>
            <w:r>
              <w:t xml:space="preserve">On-site supervision and commissioning support by the lead Mechanical Engineer during installation and start-up phases in Russia Saint Petersburg</w:t>
            </w:r>
          </w:p>
        </w:tc>
        <w:tc>
          <w:tcPr/>
          <w:p>
            <w:pPr>
              <w:pStyle w:val="Compact"/>
              <w:jc w:val="left"/>
            </w:pPr>
            <w:r>
              <w:t xml:space="preserve">Man-day</w:t>
            </w:r>
          </w:p>
        </w:tc>
        <w:tc>
          <w:tcPr/>
          <w:p>
            <w:pPr>
              <w:pStyle w:val="Compact"/>
              <w:jc w:val="left"/>
            </w:pPr>
            <w:r>
              <w:t xml:space="preserve">45</w:t>
            </w:r>
          </w:p>
        </w:tc>
        <w:tc>
          <w:tcPr/>
          <w:p>
            <w:pPr>
              <w:pStyle w:val="Compact"/>
              <w:jc w:val="left"/>
            </w:pPr>
            <w:r>
              <w:t xml:space="preserve">32,000</w:t>
            </w:r>
          </w:p>
        </w:tc>
        <w:tc>
          <w:tcPr/>
          <w:p>
            <w:pPr>
              <w:pStyle w:val="Compact"/>
              <w:jc w:val="left"/>
            </w:pPr>
            <w:r>
              <w:t xml:space="preserve">1,440,000</w:t>
            </w:r>
          </w:p>
        </w:tc>
      </w:tr>
      <w:tr>
        <w:tc>
          <w:tcPr/>
          <w:p>
            <w:pPr>
              <w:pStyle w:val="Compact"/>
              <w:jc w:val="left"/>
            </w:pPr>
            <w:r>
              <w:t xml:space="preserve">08</w:t>
            </w:r>
          </w:p>
        </w:tc>
        <w:tc>
          <w:tcPr/>
          <w:p>
            <w:pPr>
              <w:pStyle w:val="Compact"/>
              <w:jc w:val="left"/>
            </w:pPr>
            <w:r>
              <w:t xml:space="preserve">Preparation of as-built documentation, operation and maintenance manuals, and regulatory submission packages for Rostekhnadzor approval</w:t>
            </w:r>
          </w:p>
        </w:tc>
        <w:tc>
          <w:tcPr/>
          <w:p>
            <w:pPr>
              <w:pStyle w:val="Compact"/>
              <w:jc w:val="left"/>
            </w:pPr>
            <w:r>
              <w:t xml:space="preserve">Lot</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09</w:t>
            </w:r>
          </w:p>
        </w:tc>
        <w:tc>
          <w:tcPr/>
          <w:p>
            <w:pPr>
              <w:pStyle w:val="Compact"/>
              <w:jc w:val="left"/>
            </w:pPr>
            <w:r>
              <w:t xml:space="preserve">Travel, accommodation, and local transportation expenses for the Mechanical Engineer team within the Saint Petersburg metropolitan area</w:t>
            </w:r>
          </w:p>
        </w:tc>
        <w:tc>
          <w:tcPr/>
          <w:p>
            <w:pPr>
              <w:pStyle w:val="Compact"/>
              <w:jc w:val="left"/>
            </w:pPr>
            <w:r>
              <w:t xml:space="preserve">Lot</w:t>
            </w:r>
          </w:p>
        </w:tc>
        <w:tc>
          <w:tcPr/>
          <w:p>
            <w:pPr>
              <w:pStyle w:val="Compact"/>
              <w:jc w:val="left"/>
            </w:pPr>
            <w:r>
              <w:t xml:space="preserve">1</w:t>
            </w:r>
          </w:p>
        </w:tc>
        <w:tc>
          <w:tcPr/>
          <w:p>
            <w:pPr>
              <w:pStyle w:val="Compact"/>
              <w:jc w:val="left"/>
            </w:pPr>
            <w:r>
              <w:t xml:space="preserve">310,000</w:t>
            </w:r>
          </w:p>
        </w:tc>
        <w:tc>
          <w:tcPr/>
          <w:p>
            <w:pPr>
              <w:pStyle w:val="Compact"/>
              <w:jc w:val="left"/>
            </w:pPr>
            <w:r>
              <w:t xml:space="preserve">310,000</w:t>
            </w:r>
          </w:p>
        </w:tc>
      </w:tr>
      <w:tr>
        <w:tc>
          <w:tcPr>
            <w:gridSpan w:val="5"/>
          </w:tcPr>
          <w:p>
            <w:pPr>
              <w:pStyle w:val="Compact"/>
              <w:jc w:val="right"/>
            </w:pPr>
            <w:r>
              <w:t xml:space="preserve">Subtotal (RUB)</w:t>
            </w:r>
          </w:p>
        </w:tc>
        <w:tc>
          <w:tcPr/>
          <w:p>
            <w:pPr>
              <w:pStyle w:val="Compact"/>
              <w:jc w:val="left"/>
            </w:pPr>
            <w:r>
              <w:t xml:space="preserve">11,985,000</w:t>
            </w:r>
          </w:p>
        </w:tc>
      </w:tr>
      <w:tr>
        <w:tc>
          <w:tcPr>
            <w:gridSpan w:val="5"/>
          </w:tcPr>
          <w:p>
            <w:pPr>
              <w:pStyle w:val="Compact"/>
              <w:jc w:val="right"/>
            </w:pPr>
            <w:r>
              <w:t xml:space="preserve">VAT (20% per Russian Tax Code)</w:t>
            </w:r>
          </w:p>
        </w:tc>
        <w:tc>
          <w:tcPr/>
          <w:p>
            <w:pPr>
              <w:pStyle w:val="Compact"/>
              <w:jc w:val="left"/>
            </w:pPr>
            <w:r>
              <w:t xml:space="preserve">2,397,000</w:t>
            </w:r>
          </w:p>
        </w:tc>
      </w:tr>
      <w:tr>
        <w:tc>
          <w:tcPr>
            <w:gridSpan w:val="5"/>
          </w:tcPr>
          <w:p>
            <w:pPr>
              <w:pStyle w:val="Compact"/>
              <w:jc w:val="right"/>
            </w:pPr>
            <w:r>
              <w:t xml:space="preserve">TOTAL QUOTATION ESTIMATE (RUB)</w:t>
            </w:r>
          </w:p>
        </w:tc>
        <w:tc>
          <w:tcPr/>
          <w:p>
            <w:pPr>
              <w:pStyle w:val="Compact"/>
              <w:jc w:val="left"/>
            </w:pPr>
            <w:r>
              <w:t xml:space="preserve">14,382,000</w:t>
            </w:r>
          </w:p>
        </w:tc>
      </w:tr>
    </w:tbl>
    <w:bookmarkEnd w:id="22"/>
    <w:bookmarkStart w:id="23" w:name="project-timeline"/>
    <w:p>
      <w:pPr>
        <w:pStyle w:val="Heading2"/>
      </w:pPr>
      <w:r>
        <w:t xml:space="preserve">3. Project Timeline</w:t>
      </w:r>
    </w:p>
    <w:p>
      <w:pPr>
        <w:pStyle w:val="FirstParagraph"/>
      </w:pPr>
      <w:r>
        <w:t xml:space="preserve">The</w:t>
      </w:r>
      <w:r>
        <w:t xml:space="preserve"> </w:t>
      </w:r>
      <w:r>
        <w:t xml:space="preserve">Mechanical Engineer</w:t>
      </w:r>
      <w:r>
        <w:t xml:space="preserve"> </w:t>
      </w:r>
      <w:r>
        <w:t xml:space="preserve">engagement shall be executed over a period of fourteen (14) calendar months from the date of contract execution. The design phase (Items 01–06) is estimated at eight months, while the on-site supervision and commissioning phase (Items 07–09) spans six months. A detailed Gantt chart and milestone schedule will be provided as an annex to the final contract. All deliverables are subject to the client's review and approval cycle, which is assumed to be fourteen (14) business days per submission.</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ninety (90) days from the date of issue. Beyond this period, pricing may be revised to reflect changes in material costs, labor rates, or regulatory requirements applicable in Russia Saint Petersburg.</w:t>
      </w:r>
    </w:p>
    <w:p>
      <w:pPr>
        <w:numPr>
          <w:ilvl w:val="0"/>
          <w:numId w:val="1001"/>
        </w:numPr>
        <w:pStyle w:val="Compact"/>
      </w:pPr>
      <w:r>
        <w:t xml:space="preserve">Payment shall be made in Russian Rubles (RUB) via bank transfer to the account of Petrov Engineering Consultancy LLC. The payment schedule is as follows: 30% advance upon contract signing, 40% upon delivery of the complete design package, and 30% upon successful commissioning and handover of as-built documentation.</w:t>
      </w:r>
    </w:p>
    <w:p>
      <w:pPr>
        <w:numPr>
          <w:ilvl w:val="0"/>
          <w:numId w:val="1001"/>
        </w:numPr>
        <w:pStyle w:val="Compact"/>
      </w:pPr>
      <w:r>
        <w:t xml:space="preserve">All intellectual property rights in the design documents, calculations, and drawings produced by the</w:t>
      </w:r>
      <w:r>
        <w:t xml:space="preserve"> </w:t>
      </w:r>
      <w:r>
        <w:t xml:space="preserve">Mechanical Engineer</w:t>
      </w:r>
      <w:r>
        <w:t xml:space="preserve"> </w:t>
      </w:r>
      <w:r>
        <w:t xml:space="preserve">shall transfer to the client upon full payment of the total amount stated in this Quotation Estimate.</w:t>
      </w:r>
    </w:p>
    <w:p>
      <w:pPr>
        <w:numPr>
          <w:ilvl w:val="0"/>
          <w:numId w:val="1001"/>
        </w:numPr>
        <w:pStyle w:val="Compact"/>
      </w:pPr>
      <w:r>
        <w:t xml:space="preserve">The Mechanical Engineer shall maintain professional liability insurance with a minimum coverage of 50,000,000 RUB throughout the duration of the project, as required for engineering services in Russia Saint Petersburg.</w:t>
      </w:r>
    </w:p>
    <w:p>
      <w:pPr>
        <w:numPr>
          <w:ilvl w:val="0"/>
          <w:numId w:val="1001"/>
        </w:numPr>
        <w:pStyle w:val="Compact"/>
      </w:pPr>
      <w:r>
        <w:t xml:space="preserve">Any changes to the scope of work beyond 10% of the original estimate shall require a written change order signed by both parties. Additional costs will be calculated at the unit rates specified in Section 2 of this document.</w:t>
      </w:r>
    </w:p>
    <w:p>
      <w:pPr>
        <w:numPr>
          <w:ilvl w:val="0"/>
          <w:numId w:val="1001"/>
        </w:numPr>
        <w:pStyle w:val="Compact"/>
      </w:pPr>
      <w:r>
        <w:t xml:space="preserve">Disputes arising from this engagement shall be resolved through arbitration at the Arbitration Court of Saint Petersburg and Leningrad Oblast, in accordance with the Civil Code of the Russian Federation.</w:t>
      </w:r>
    </w:p>
    <w:p>
      <w:pPr>
        <w:numPr>
          <w:ilvl w:val="0"/>
          <w:numId w:val="1001"/>
        </w:numPr>
        <w:pStyle w:val="Compact"/>
      </w:pPr>
      <w:r>
        <w:t xml:space="preserve">The Mechanical Engineer reserves the right to subcontract specialized sub-disciplines (e.g., fire protection engineering, electrical coordination) provided that the lead Mechanical Engineer retains full responsibility for the integrated design package.</w:t>
      </w:r>
    </w:p>
    <w:p>
      <w:pPr>
        <w:pStyle w:val="FirstParagraph"/>
      </w:pPr>
      <w:r>
        <w:rPr>
          <w:bCs/>
          <w:b/>
        </w:rPr>
        <w:t xml:space="preserve">Note:</w:t>
      </w:r>
      <w:r>
        <w:t xml:space="preserve"> </w:t>
      </w:r>
      <w:r>
        <w:t xml:space="preserve">This Quotation Estimate does not include costs for third-party testing, laboratory material certification, or government permit fees. These items shall be borne directly by the client. All prices are exclusive of any applicable customs duties should imported equipment be specified during the design phase.</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this</w:t>
      </w:r>
      <w:r>
        <w:t xml:space="preserve"> </w:t>
      </w:r>
      <w:r>
        <w:t xml:space="preserve">Quotation Estimate</w:t>
      </w:r>
      <w:r>
        <w:t xml:space="preserve"> </w:t>
      </w:r>
      <w:r>
        <w:t xml:space="preserve">represents a binding offer for the provision of</w:t>
      </w:r>
      <w:r>
        <w:t xml:space="preserve"> </w:t>
      </w:r>
      <w:r>
        <w:t xml:space="preserve">Mechanical Engineer</w:t>
      </w:r>
      <w:r>
        <w:t xml:space="preserve"> </w:t>
      </w:r>
      <w:r>
        <w:t xml:space="preserve">services in Russia Saint Petersburg under the terms and conditions set forth herein. This document shall form the basis of the definitive service contract to be executed within thirty (30) days of mutual acceptance.</w:t>
      </w:r>
    </w:p>
    <w:p>
      <w:pPr>
        <w:pStyle w:val="BodyText"/>
      </w:pPr>
      <w:r>
        <w:rPr>
          <w:bCs/>
          <w:b/>
        </w:rPr>
        <w:t xml:space="preserve">For Petrov Engineering Consultancy LLC</w:t>
      </w:r>
      <w:r>
        <w:br/>
      </w:r>
      <w:r>
        <w:t xml:space="preserve">Alexei V. Petrov, P.Eng.</w:t>
      </w:r>
      <w:r>
        <w:br/>
      </w:r>
      <w:r>
        <w:t xml:space="preserve">Senior Mechanical Engineer / Director</w:t>
      </w:r>
      <w:r>
        <w:br/>
      </w:r>
      <w:r>
        <w:t xml:space="preserve">Date: _______________</w:t>
      </w:r>
    </w:p>
    <w:p>
      <w:pPr>
        <w:pStyle w:val="BodyText"/>
      </w:pPr>
      <w:r>
        <w:rPr>
          <w:bCs/>
          <w:b/>
        </w:rPr>
        <w:t xml:space="preserve">For Baltic Industrial Systems JSC</w:t>
      </w:r>
      <w:r>
        <w:br/>
      </w:r>
      <w:r>
        <w:t xml:space="preserve">___________________________</w:t>
      </w:r>
      <w:r>
        <w:br/>
      </w:r>
      <w:r>
        <w:t xml:space="preserve">Director of Engineering</w:t>
      </w:r>
      <w:r>
        <w:br/>
      </w:r>
      <w:r>
        <w:t xml:space="preserve">Date: _______________</w:t>
      </w:r>
    </w:p>
    <w:p>
      <w:pPr>
        <w:pStyle w:val="BodyText"/>
      </w:pPr>
      <w:r>
        <w:t xml:space="preserve">Petrov Engineering Consultancy LLC | INN 7805123456 | OGRN 1157847001234</w:t>
      </w:r>
      <w:r>
        <w:br/>
      </w:r>
      <w:r>
        <w:t xml:space="preserve">44 Liteyny Avenue, Saint Petersburg, 191025, Russian Federation</w:t>
      </w:r>
      <w:r>
        <w:br/>
      </w:r>
      <w:r>
        <w:t xml:space="preserve">Tel: +7 (812) 313-45-67 | Email: engineering@petrov-eng.ru</w:t>
      </w:r>
      <w:r>
        <w:br/>
      </w:r>
      <w:r>
        <w:t xml:space="preserve">This Quotation Estimate is a controlled document. Uncontrolled when printed. Rev. 00</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Russia Saint Petersburg</dc:title>
  <dc:creator/>
  <dc:language>en</dc:language>
  <cp:keywords/>
  <dcterms:created xsi:type="dcterms:W3CDTF">2026-10-10T04:25:46Z</dcterms:created>
  <dcterms:modified xsi:type="dcterms:W3CDTF">2026-10-10T04:25:46Z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