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Mechanical Engineer Professional Services</w:t>
      </w:r>
    </w:p>
    <w:p>
      <w:pPr>
        <w:pStyle w:val="BodyText"/>
      </w:pPr>
      <w:r>
        <w:t xml:space="preserve">United Arab Emirates — Dubai</w:t>
      </w:r>
    </w:p>
    <w:bookmarkEnd w:id="20"/>
    <w:p>
      <w:pPr>
        <w:pStyle w:val="BodyText"/>
      </w:pPr>
      <w:r>
        <w:rPr>
          <w:bCs/>
          <w:b/>
        </w:rPr>
        <w:t xml:space="preserve">Quotation No.:</w:t>
      </w:r>
      <w:r>
        <w:t xml:space="preserve"> </w:t>
      </w:r>
      <w:r>
        <w:t xml:space="preserve">QTE-DXB-2025-04782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Al Noor Engineering Consultancy LLC</w:t>
      </w:r>
      <w:r>
        <w:br/>
      </w:r>
      <w:r>
        <w:rPr>
          <w:bCs/>
          <w:b/>
        </w:rPr>
        <w:t xml:space="preserve">Location:</w:t>
      </w:r>
      <w:r>
        <w:t xml:space="preserve"> </w:t>
      </w:r>
      <w:r>
        <w:t xml:space="preserve">Office 1204, Level 12, Burj Khalifa, Downtown Dubai</w:t>
      </w:r>
      <w:r>
        <w:br/>
      </w:r>
      <w:r>
        <w:rPr>
          <w:bCs/>
          <w:b/>
        </w:rPr>
        <w:t xml:space="preserve">United Arab Emirates</w:t>
      </w:r>
      <w:r>
        <w:br/>
      </w:r>
      <w:r>
        <w:rPr>
          <w:bCs/>
          <w:b/>
        </w:rPr>
        <w:t xml:space="preserve">Contact:</w:t>
      </w:r>
      <w:r>
        <w:t xml:space="preserve"> </w:t>
      </w:r>
      <w:r>
        <w:t xml:space="preserve">+971 4 555 0192 | info@alnoor-eng.ae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Marina Heights Development Group FZ-LLC</w:t>
            </w:r>
          </w:p>
        </w:tc>
      </w:tr>
      <w:tr>
        <w:tc>
          <w:tcPr/>
          <w:p>
            <w:pPr>
              <w:pStyle w:val="Compact"/>
              <w:jc w:val="left"/>
            </w:pPr>
            <w:r>
              <w:rPr>
                <w:bCs/>
                <w:b/>
              </w:rPr>
              <w:t xml:space="preserve">Project Address:</w:t>
            </w:r>
          </w:p>
        </w:tc>
        <w:tc>
          <w:tcPr/>
          <w:p>
            <w:pPr>
              <w:pStyle w:val="Compact"/>
              <w:jc w:val="left"/>
            </w:pPr>
            <w:r>
              <w:t xml:space="preserve">Plot 47, Dubai Marina, United Arab Emirates</w:t>
            </w:r>
          </w:p>
        </w:tc>
      </w:tr>
      <w:tr>
        <w:tc>
          <w:tcPr/>
          <w:p>
            <w:pPr>
              <w:pStyle w:val="Compact"/>
              <w:jc w:val="left"/>
            </w:pPr>
            <w:r>
              <w:rPr>
                <w:bCs/>
                <w:b/>
              </w:rPr>
              <w:t xml:space="preserve">Project Reference:</w:t>
            </w:r>
          </w:p>
        </w:tc>
        <w:tc>
          <w:tcPr/>
          <w:p>
            <w:pPr>
              <w:pStyle w:val="Compact"/>
              <w:jc w:val="left"/>
            </w:pPr>
            <w:r>
              <w:t xml:space="preserve">MHDG-2025-MECH-003</w:t>
            </w:r>
          </w:p>
        </w:tc>
      </w:tr>
      <w:tr>
        <w:tc>
          <w:tcPr/>
          <w:p>
            <w:pPr>
              <w:pStyle w:val="Compact"/>
              <w:jc w:val="left"/>
            </w:pPr>
            <w:r>
              <w:rPr>
                <w:bCs/>
                <w:b/>
              </w:rPr>
              <w:t xml:space="preserve">Point of Contact:</w:t>
            </w:r>
          </w:p>
        </w:tc>
        <w:tc>
          <w:tcPr/>
          <w:p>
            <w:pPr>
              <w:pStyle w:val="Compact"/>
              <w:jc w:val="left"/>
            </w:pPr>
            <w:r>
              <w:t xml:space="preserve">Mr. Khalid Al Mansoori, Project Director</w:t>
            </w:r>
          </w:p>
        </w:tc>
      </w:tr>
    </w:tbl>
    <w:bookmarkEnd w:id="21"/>
    <w:bookmarkStart w:id="22" w:name="X807861f6ab19211fb922f66f33ff5be00d02cf9"/>
    <w:p>
      <w:pPr>
        <w:pStyle w:val="Heading2"/>
      </w:pPr>
      <w:r>
        <w:t xml:space="preserve">2. Scope of Work — Mechanical Engineer Services</w:t>
      </w:r>
    </w:p>
    <w:p>
      <w:pPr>
        <w:pStyle w:val="FirstParagraph"/>
      </w:pPr>
      <w:r>
        <w:t xml:space="preserve">This</w:t>
      </w:r>
      <w:r>
        <w:t xml:space="preserve"> </w:t>
      </w:r>
      <w:r>
        <w:t xml:space="preserve">Quotation Estimate</w:t>
      </w:r>
      <w:r>
        <w:t xml:space="preserve"> </w:t>
      </w:r>
      <w:r>
        <w:t xml:space="preserve">is issued by Al Noor Engineering Consultancy LLC to provide comprehensive</w:t>
      </w:r>
      <w:r>
        <w:t xml:space="preserve"> </w:t>
      </w:r>
      <w:r>
        <w:t xml:space="preserve">Mechanical Engineer</w:t>
      </w:r>
      <w:r>
        <w:t xml:space="preserve"> </w:t>
      </w:r>
      <w:r>
        <w:t xml:space="preserve">professional services for the Marina Heights residential and commercial development project located in</w:t>
      </w:r>
      <w:r>
        <w:t xml:space="preserve"> </w:t>
      </w:r>
      <w:r>
        <w:t xml:space="preserve">United Arab Emirates Dubai</w:t>
      </w:r>
      <w:r>
        <w:t xml:space="preserve">. The scope encompasses the full lifecycle of mechanical engineering support, from initial design review through to commissioning and handover, in strict compliance with the Dubai Municipality building codes, the UAE Federal Civil Defence regulations, and the applicable standards of the American Society of Heating, Refrigerating and Air-Conditioning Engineers (ASHRAE).</w:t>
      </w:r>
    </w:p>
    <w:p>
      <w:pPr>
        <w:pStyle w:val="BodyText"/>
      </w:pPr>
      <w:r>
        <w:t xml:space="preserve">The designated</w:t>
      </w:r>
      <w:r>
        <w:t xml:space="preserve"> </w:t>
      </w:r>
      <w:r>
        <w:t xml:space="preserve">Mechanical Engineer</w:t>
      </w:r>
      <w:r>
        <w:t xml:space="preserve"> </w:t>
      </w:r>
      <w:r>
        <w:t xml:space="preserve">team, led by a Chartered Mechanical Engineer (CPEng) registered with the UAE Council of Engineers, shall deliver the following services:</w:t>
      </w:r>
    </w:p>
    <w:p>
      <w:pPr>
        <w:numPr>
          <w:ilvl w:val="0"/>
          <w:numId w:val="1001"/>
        </w:numPr>
        <w:pStyle w:val="Compact"/>
      </w:pPr>
      <w:r>
        <w:t xml:space="preserve">Review and validation of all mechanical system designs including HVAC, plumbing, fire protection, and building services for the 32-storey tower and associated podium structures.</w:t>
      </w:r>
    </w:p>
    <w:p>
      <w:pPr>
        <w:numPr>
          <w:ilvl w:val="0"/>
          <w:numId w:val="1001"/>
        </w:numPr>
        <w:pStyle w:val="Compact"/>
      </w:pPr>
      <w:r>
        <w:t xml:space="preserve">Preparation of detailed mechanical engineering calculations, load analyses, and energy performance modelling in accordance with the Dubai Green Building Regulations (DGBR) and Estidama sustainability guidelines.</w:t>
      </w:r>
    </w:p>
    <w:p>
      <w:pPr>
        <w:numPr>
          <w:ilvl w:val="0"/>
          <w:numId w:val="1001"/>
        </w:numPr>
        <w:pStyle w:val="Compact"/>
      </w:pPr>
      <w:r>
        <w:t xml:space="preserve">Coordination with structural, electrical, and architectural disciplines to resolve spatial conflicts and ensure integrated building services delivery.</w:t>
      </w:r>
    </w:p>
    <w:p>
      <w:pPr>
        <w:numPr>
          <w:ilvl w:val="0"/>
          <w:numId w:val="1001"/>
        </w:numPr>
        <w:pStyle w:val="Compact"/>
      </w:pPr>
      <w:r>
        <w:t xml:space="preserve">Issuance of shop drawings, method statements, and technical submittals for approval by the Dubai Municipality and the relevant free-zone or mainland authority.</w:t>
      </w:r>
    </w:p>
    <w:p>
      <w:pPr>
        <w:numPr>
          <w:ilvl w:val="0"/>
          <w:numId w:val="1001"/>
        </w:numPr>
        <w:pStyle w:val="Compact"/>
      </w:pPr>
      <w:r>
        <w:t xml:space="preserve">On-site supervision and quality assurance inspections at critical construction milestones, including pressure testing of piping systems, refrigerant leak detection, and HVAC balancing.</w:t>
      </w:r>
    </w:p>
    <w:p>
      <w:pPr>
        <w:numPr>
          <w:ilvl w:val="0"/>
          <w:numId w:val="1001"/>
        </w:numPr>
        <w:pStyle w:val="Compact"/>
      </w:pPr>
      <w:r>
        <w:t xml:space="preserve">Commissioning support, performance testing, and preparation of the final as-built documentation package for the Dubai Municipality final completion certificate.</w:t>
      </w:r>
    </w:p>
    <w:bookmarkEnd w:id="22"/>
    <w:bookmarkStart w:id="23" w:name="X83c4279fdfe0006302ff32c697d8131583a5b8b"/>
    <w:p>
      <w:pPr>
        <w:pStyle w:val="Heading2"/>
      </w:pPr>
      <w:r>
        <w:t xml:space="preserve">3. Quotation Estimate —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Lead Mechanical Engineer — Design Review &amp; Validation (32-storey tower + podium)</w:t>
            </w:r>
          </w:p>
        </w:tc>
        <w:tc>
          <w:tcPr/>
          <w:p>
            <w:pPr>
              <w:pStyle w:val="Compact"/>
              <w:jc w:val="left"/>
            </w:pPr>
            <w:r>
              <w:t xml:space="preserve">120 man-days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Senior Mechanical Engineer — HVAC &amp; Plumbing Calculations</w:t>
            </w:r>
          </w:p>
        </w:tc>
        <w:tc>
          <w:tcPr/>
          <w:p>
            <w:pPr>
              <w:pStyle w:val="Compact"/>
              <w:jc w:val="left"/>
            </w:pPr>
            <w:r>
              <w:t xml:space="preserve">95 man-days</w:t>
            </w:r>
          </w:p>
        </w:tc>
        <w:tc>
          <w:tcPr/>
          <w:p>
            <w:pPr>
              <w:pStyle w:val="Compact"/>
              <w:jc w:val="left"/>
            </w:pPr>
            <w:r>
              <w:t xml:space="preserve">1,450</w:t>
            </w:r>
          </w:p>
        </w:tc>
        <w:tc>
          <w:tcPr/>
          <w:p>
            <w:pPr>
              <w:pStyle w:val="Compact"/>
              <w:jc w:val="left"/>
            </w:pPr>
            <w:r>
              <w:t xml:space="preserve">137,750</w:t>
            </w:r>
          </w:p>
        </w:tc>
      </w:tr>
      <w:tr>
        <w:tc>
          <w:tcPr/>
          <w:p>
            <w:pPr>
              <w:pStyle w:val="Compact"/>
              <w:jc w:val="left"/>
            </w:pPr>
            <w:r>
              <w:t xml:space="preserve">03</w:t>
            </w:r>
          </w:p>
        </w:tc>
        <w:tc>
          <w:tcPr/>
          <w:p>
            <w:pPr>
              <w:pStyle w:val="Compact"/>
              <w:jc w:val="left"/>
            </w:pPr>
            <w:r>
              <w:t xml:space="preserve">Fire Protection &amp; Life Safety Systems Specialist</w:t>
            </w:r>
          </w:p>
        </w:tc>
        <w:tc>
          <w:tcPr/>
          <w:p>
            <w:pPr>
              <w:pStyle w:val="Compact"/>
              <w:jc w:val="left"/>
            </w:pPr>
            <w:r>
              <w:t xml:space="preserve">60 man-days</w:t>
            </w:r>
          </w:p>
        </w:tc>
        <w:tc>
          <w:tcPr/>
          <w:p>
            <w:pPr>
              <w:pStyle w:val="Compact"/>
              <w:jc w:val="left"/>
            </w:pPr>
            <w:r>
              <w:t xml:space="preserve">1,600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Energy Modelling &amp; DGBR Compliance Assessment</w:t>
            </w:r>
          </w:p>
        </w:tc>
        <w:tc>
          <w:tcPr/>
          <w:p>
            <w:pPr>
              <w:pStyle w:val="Compact"/>
              <w:jc w:val="left"/>
            </w:pPr>
            <w:r>
              <w:t xml:space="preserve">30 man-days</w:t>
            </w:r>
          </w:p>
        </w:tc>
        <w:tc>
          <w:tcPr/>
          <w:p>
            <w:pPr>
              <w:pStyle w:val="Compact"/>
              <w:jc w:val="left"/>
            </w:pPr>
            <w:r>
              <w:t xml:space="preserve">1,700</w:t>
            </w:r>
          </w:p>
        </w:tc>
        <w:tc>
          <w:tcPr/>
          <w:p>
            <w:pPr>
              <w:pStyle w:val="Compact"/>
              <w:jc w:val="left"/>
            </w:pPr>
            <w:r>
              <w:t xml:space="preserve">51,000</w:t>
            </w:r>
          </w:p>
        </w:tc>
      </w:tr>
      <w:tr>
        <w:tc>
          <w:tcPr/>
          <w:p>
            <w:pPr>
              <w:pStyle w:val="Compact"/>
              <w:jc w:val="left"/>
            </w:pPr>
            <w:r>
              <w:t xml:space="preserve">05</w:t>
            </w:r>
          </w:p>
        </w:tc>
        <w:tc>
          <w:tcPr/>
          <w:p>
            <w:pPr>
              <w:pStyle w:val="Compact"/>
              <w:jc w:val="left"/>
            </w:pPr>
            <w:r>
              <w:t xml:space="preserve">On-Site Supervision &amp; QA/QC Inspections (United Arab Emirates Dubai site)</w:t>
            </w:r>
          </w:p>
        </w:tc>
        <w:tc>
          <w:tcPr/>
          <w:p>
            <w:pPr>
              <w:pStyle w:val="Compact"/>
              <w:jc w:val="left"/>
            </w:pPr>
            <w:r>
              <w:t xml:space="preserve">180 man-days</w:t>
            </w:r>
          </w:p>
        </w:tc>
        <w:tc>
          <w:tcPr/>
          <w:p>
            <w:pPr>
              <w:pStyle w:val="Compact"/>
              <w:jc w:val="left"/>
            </w:pPr>
            <w:r>
              <w:t xml:space="preserve">1,200</w:t>
            </w:r>
          </w:p>
        </w:tc>
        <w:tc>
          <w:tcPr/>
          <w:p>
            <w:pPr>
              <w:pStyle w:val="Compact"/>
              <w:jc w:val="left"/>
            </w:pPr>
            <w:r>
              <w:t xml:space="preserve">216,000</w:t>
            </w:r>
          </w:p>
        </w:tc>
      </w:tr>
      <w:tr>
        <w:tc>
          <w:tcPr/>
          <w:p>
            <w:pPr>
              <w:pStyle w:val="Compact"/>
              <w:jc w:val="left"/>
            </w:pPr>
            <w:r>
              <w:t xml:space="preserve">06</w:t>
            </w:r>
          </w:p>
        </w:tc>
        <w:tc>
          <w:tcPr/>
          <w:p>
            <w:pPr>
              <w:pStyle w:val="Compact"/>
              <w:jc w:val="left"/>
            </w:pPr>
            <w:r>
              <w:t xml:space="preserve">Commissioning, Performance Testing &amp; As-Built Documentation</w:t>
            </w:r>
          </w:p>
        </w:tc>
        <w:tc>
          <w:tcPr/>
          <w:p>
            <w:pPr>
              <w:pStyle w:val="Compact"/>
              <w:jc w:val="left"/>
            </w:pPr>
            <w:r>
              <w:t xml:space="preserve">45 man-days</w:t>
            </w:r>
          </w:p>
        </w:tc>
        <w:tc>
          <w:tcPr/>
          <w:p>
            <w:pPr>
              <w:pStyle w:val="Compact"/>
              <w:jc w:val="left"/>
            </w:pPr>
            <w:r>
              <w:t xml:space="preserve">1,550</w:t>
            </w:r>
          </w:p>
        </w:tc>
        <w:tc>
          <w:tcPr/>
          <w:p>
            <w:pPr>
              <w:pStyle w:val="Compact"/>
              <w:jc w:val="left"/>
            </w:pPr>
            <w:r>
              <w:t xml:space="preserve">69,750</w:t>
            </w:r>
          </w:p>
        </w:tc>
      </w:tr>
      <w:tr>
        <w:tc>
          <w:tcPr/>
          <w:p>
            <w:pPr>
              <w:pStyle w:val="Compact"/>
              <w:jc w:val="left"/>
            </w:pPr>
            <w:r>
              <w:t xml:space="preserve">07</w:t>
            </w:r>
          </w:p>
        </w:tc>
        <w:tc>
          <w:tcPr/>
          <w:p>
            <w:pPr>
              <w:pStyle w:val="Compact"/>
              <w:jc w:val="left"/>
            </w:pPr>
            <w:r>
              <w:t xml:space="preserve">Coordination Meetings &amp; Authority Submittals (Dubai Municipality, Civil Defence)</w:t>
            </w:r>
          </w:p>
        </w:tc>
        <w:tc>
          <w:tcPr/>
          <w:p>
            <w:pPr>
              <w:pStyle w:val="Compact"/>
              <w:jc w:val="left"/>
            </w:pPr>
            <w:r>
              <w:t xml:space="preserve">25 man-days</w:t>
            </w:r>
          </w:p>
        </w:tc>
        <w:tc>
          <w:tcPr/>
          <w:p>
            <w:pPr>
              <w:pStyle w:val="Compact"/>
              <w:jc w:val="left"/>
            </w:pPr>
            <w:r>
              <w:t xml:space="preserve">1,300</w:t>
            </w:r>
          </w:p>
        </w:tc>
        <w:tc>
          <w:tcPr/>
          <w:p>
            <w:pPr>
              <w:pStyle w:val="Compact"/>
              <w:jc w:val="left"/>
            </w:pPr>
            <w:r>
              <w:t xml:space="preserve">32,500</w:t>
            </w:r>
          </w:p>
        </w:tc>
      </w:tr>
      <w:tr>
        <w:tc>
          <w:tcPr/>
          <w:p>
            <w:pPr>
              <w:pStyle w:val="Compact"/>
              <w:jc w:val="left"/>
            </w:pPr>
            <w:r>
              <w:t xml:space="preserve">08</w:t>
            </w:r>
          </w:p>
        </w:tc>
        <w:tc>
          <w:tcPr/>
          <w:p>
            <w:pPr>
              <w:pStyle w:val="Compact"/>
              <w:jc w:val="left"/>
            </w:pPr>
            <w:r>
              <w:t xml:space="preserve">Software Licences, Travel, and Miscellaneous Project Expenses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28,000</w:t>
            </w:r>
          </w:p>
        </w:tc>
      </w:tr>
      <w:tr>
        <w:tc>
          <w:tcPr>
            <w:gridSpan w:val="4"/>
          </w:tcPr>
          <w:p>
            <w:pPr>
              <w:pStyle w:val="Compact"/>
              <w:jc w:val="left"/>
            </w:pPr>
            <w:r>
              <w:t xml:space="preserve">Subtotal</w:t>
            </w:r>
          </w:p>
        </w:tc>
        <w:tc>
          <w:tcPr/>
          <w:p>
            <w:pPr>
              <w:pStyle w:val="Compact"/>
              <w:jc w:val="left"/>
            </w:pPr>
            <w:r>
              <w:t xml:space="preserve">853,000</w:t>
            </w:r>
          </w:p>
        </w:tc>
      </w:tr>
      <w:tr>
        <w:tc>
          <w:tcPr>
            <w:gridSpan w:val="4"/>
          </w:tcPr>
          <w:p>
            <w:pPr>
              <w:pStyle w:val="Compact"/>
              <w:jc w:val="left"/>
            </w:pPr>
            <w:r>
              <w:t xml:space="preserve">VAT @ 5% (United Arab Emirates)</w:t>
            </w:r>
          </w:p>
        </w:tc>
        <w:tc>
          <w:tcPr/>
          <w:p>
            <w:pPr>
              <w:pStyle w:val="Compact"/>
              <w:jc w:val="left"/>
            </w:pPr>
            <w:r>
              <w:t xml:space="preserve">42,650</w:t>
            </w:r>
          </w:p>
        </w:tc>
      </w:tr>
      <w:tr>
        <w:tc>
          <w:tcPr>
            <w:gridSpan w:val="4"/>
          </w:tcPr>
          <w:p>
            <w:pPr>
              <w:pStyle w:val="Compact"/>
              <w:jc w:val="left"/>
            </w:pPr>
            <w:r>
              <w:rPr>
                <w:bCs/>
                <w:b/>
              </w:rPr>
              <w:t xml:space="preserve">TOTAL QUOTATION ESTIMATE (AED)</w:t>
            </w:r>
          </w:p>
        </w:tc>
        <w:tc>
          <w:tcPr/>
          <w:p>
            <w:pPr>
              <w:pStyle w:val="Compact"/>
              <w:jc w:val="left"/>
            </w:pPr>
            <w:r>
              <w:rPr>
                <w:bCs/>
                <w:b/>
              </w:rPr>
              <w:t xml:space="preserve">895,650</w:t>
            </w:r>
          </w:p>
        </w:tc>
      </w:tr>
    </w:tbl>
    <w:bookmarkEnd w:id="23"/>
    <w:bookmarkStart w:id="24" w:name="payment-terms"/>
    <w:p>
      <w:pPr>
        <w:pStyle w:val="Heading2"/>
      </w:pPr>
      <w:r>
        <w:t xml:space="preserve">4. Payment Terms</w:t>
      </w:r>
    </w:p>
    <w:p>
      <w:pPr>
        <w:numPr>
          <w:ilvl w:val="0"/>
          <w:numId w:val="1002"/>
        </w:numPr>
        <w:pStyle w:val="Compact"/>
      </w:pPr>
      <w:r>
        <w:t xml:space="preserve">25% advance payment upon execution of the service agreement and receipt of this</w:t>
      </w:r>
      <w:r>
        <w:t xml:space="preserve"> </w:t>
      </w:r>
      <w:r>
        <w:t xml:space="preserve">Quotation Estimate</w:t>
      </w:r>
      <w:r>
        <w:t xml:space="preserve">.</w:t>
      </w:r>
    </w:p>
    <w:p>
      <w:pPr>
        <w:numPr>
          <w:ilvl w:val="0"/>
          <w:numId w:val="1002"/>
        </w:numPr>
        <w:pStyle w:val="Compact"/>
      </w:pPr>
      <w:r>
        <w:t xml:space="preserve">40% progress payment upon completion of the design review and issuance of all mechanical engineering calculations.</w:t>
      </w:r>
    </w:p>
    <w:p>
      <w:pPr>
        <w:numPr>
          <w:ilvl w:val="0"/>
          <w:numId w:val="1002"/>
        </w:numPr>
        <w:pStyle w:val="Compact"/>
      </w:pPr>
      <w:r>
        <w:t xml:space="preserve">25% payment upon completion of on-site supervision and commissioning activities in</w:t>
      </w:r>
      <w:r>
        <w:t xml:space="preserve"> </w:t>
      </w:r>
      <w:r>
        <w:t xml:space="preserve">United Arab Emirates Dubai</w:t>
      </w:r>
      <w:r>
        <w:t xml:space="preserve">.</w:t>
      </w:r>
    </w:p>
    <w:p>
      <w:pPr>
        <w:numPr>
          <w:ilvl w:val="0"/>
          <w:numId w:val="1002"/>
        </w:numPr>
        <w:pStyle w:val="Compact"/>
      </w:pPr>
      <w:r>
        <w:t xml:space="preserve">10% final payment upon handover of the complete as-built documentation package and receipt of the Dubai Municipality final completion certificate.</w:t>
      </w:r>
    </w:p>
    <w:p>
      <w:pPr>
        <w:numPr>
          <w:ilvl w:val="0"/>
          <w:numId w:val="1002"/>
        </w:numPr>
        <w:pStyle w:val="Compact"/>
      </w:pPr>
      <w:r>
        <w:t xml:space="preserve">All payments shall be made in United Arab Emirates Dirhams (AED) via bank transfer to the account specified in the service agreement.</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Any request for a revised quotation after the expiry date shall be subject to re-evaluation of current market rates for</w:t>
      </w:r>
      <w:r>
        <w:t xml:space="preserve"> </w:t>
      </w:r>
      <w:r>
        <w:t xml:space="preserve">Mechanical Engineer</w:t>
      </w:r>
      <w:r>
        <w:t xml:space="preserve"> </w:t>
      </w:r>
      <w:r>
        <w:t xml:space="preserve">services in the</w:t>
      </w:r>
      <w:r>
        <w:t xml:space="preserve"> </w:t>
      </w:r>
      <w:r>
        <w:t xml:space="preserve">United Arab Emirates Dubai</w:t>
      </w:r>
      <w:r>
        <w:t xml:space="preserve"> </w:t>
      </w:r>
      <w:r>
        <w:t xml:space="preserve">region.</w:t>
      </w:r>
    </w:p>
    <w:p>
      <w:pPr>
        <w:numPr>
          <w:ilvl w:val="0"/>
          <w:numId w:val="1003"/>
        </w:numPr>
        <w:pStyle w:val="Compact"/>
      </w:pPr>
      <w:r>
        <w:t xml:space="preserve">All services shall be performed in accordance with the UAE Federal Law No. 7 of 1985 (Civil Code), the Dubai Municipality Technical Regulations, and the applicable provisions of the UAE Building and Construction Code.</w:t>
      </w:r>
    </w:p>
    <w:p>
      <w:pPr>
        <w:numPr>
          <w:ilvl w:val="0"/>
          <w:numId w:val="1003"/>
        </w:numPr>
        <w:pStyle w:val="Compact"/>
      </w:pPr>
      <w:r>
        <w:t xml:space="preserve">The</w:t>
      </w:r>
      <w:r>
        <w:t xml:space="preserve"> </w:t>
      </w:r>
      <w:r>
        <w:t xml:space="preserve">Mechanical Engineer</w:t>
      </w:r>
      <w:r>
        <w:t xml:space="preserve"> </w:t>
      </w:r>
      <w:r>
        <w:t xml:space="preserve">team shall maintain full professional indemnity insurance with a minimum cover of AED 5,000,000 throughout the duration of the project.</w:t>
      </w:r>
    </w:p>
    <w:p>
      <w:pPr>
        <w:numPr>
          <w:ilvl w:val="0"/>
          <w:numId w:val="1003"/>
        </w:numPr>
        <w:pStyle w:val="Compact"/>
      </w:pPr>
      <w:r>
        <w:t xml:space="preserve">Any variation in scope exceeding 10% of the total</w:t>
      </w:r>
      <w:r>
        <w:t xml:space="preserve"> </w:t>
      </w:r>
      <w:r>
        <w:t xml:space="preserve">Quotation Estimate</w:t>
      </w:r>
      <w:r>
        <w:t xml:space="preserve"> </w:t>
      </w:r>
      <w:r>
        <w:t xml:space="preserve">value shall require a formal variation order signed by both parties before additional work commences.</w:t>
      </w:r>
    </w:p>
    <w:p>
      <w:pPr>
        <w:numPr>
          <w:ilvl w:val="0"/>
          <w:numId w:val="1003"/>
        </w:numPr>
        <w:pStyle w:val="Compact"/>
      </w:pPr>
      <w:r>
        <w:t xml:space="preserve">Confidentiality: All project data, drawings, and proprietary information exchanged in connection with this engagement shall be treated as strictly confidential and shall not be disclosed to any third party without prior written consent.</w:t>
      </w:r>
    </w:p>
    <w:p>
      <w:pPr>
        <w:numPr>
          <w:ilvl w:val="0"/>
          <w:numId w:val="1003"/>
        </w:numPr>
        <w:pStyle w:val="Compact"/>
      </w:pPr>
      <w:r>
        <w:t xml:space="preserve">Disputes arising from this agreement shall be resolved through arbitration in Dubai in accordance with the rules of the Dubai International Arbitration Centre (DIAC).</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5"/>
    <w:p>
      <w:pPr>
        <w:pStyle w:val="FirstParagraph"/>
      </w:pPr>
      <w:r>
        <w:rPr>
          <w:bCs/>
          <w:b/>
        </w:rPr>
        <w:t xml:space="preserve">For and on behalf of:</w:t>
      </w:r>
      <w:r>
        <w:br/>
      </w:r>
      <w:r>
        <w:t xml:space="preserve">Al Noor Engineering Consultancy LLC</w:t>
      </w:r>
    </w:p>
    <w:p>
      <w:pPr>
        <w:pStyle w:val="BodyText"/>
      </w:pPr>
      <w:r>
        <w:t xml:space="preserve">Authorised Signatory</w:t>
      </w:r>
      <w:r>
        <w:br/>
      </w:r>
      <w:r>
        <w:t xml:space="preserve">Name: Eng. Rashid Al Farsi</w:t>
      </w:r>
      <w:r>
        <w:br/>
      </w:r>
      <w:r>
        <w:t xml:space="preserve">Title: Managing Director &amp; Lead Mechanical Engineer</w:t>
      </w:r>
      <w:r>
        <w:br/>
      </w:r>
      <w:r>
        <w:t xml:space="preserve">Date: _______________</w:t>
      </w:r>
    </w:p>
    <w:p>
      <w:pPr>
        <w:pStyle w:val="BodyText"/>
      </w:pPr>
      <w:r>
        <w:rPr>
          <w:bCs/>
          <w:b/>
        </w:rPr>
        <w:t xml:space="preserve">Accepted by (Client):</w:t>
      </w:r>
      <w:r>
        <w:br/>
      </w:r>
      <w:r>
        <w:t xml:space="preserve">Marina Heights Development Group FZ-LLC</w:t>
      </w:r>
    </w:p>
    <w:p>
      <w:pPr>
        <w:pStyle w:val="BodyText"/>
      </w:pPr>
      <w:r>
        <w:t xml:space="preserve">Authorised Signatory</w:t>
      </w:r>
      <w:r>
        <w:br/>
      </w:r>
      <w:r>
        <w:t xml:space="preserve">Name: Mr. Khalid Al Mansoori</w:t>
      </w:r>
      <w:r>
        <w:br/>
      </w:r>
      <w:r>
        <w:t xml:space="preserve">Title: Project Director</w:t>
      </w:r>
      <w:r>
        <w:br/>
      </w:r>
      <w:r>
        <w:t xml:space="preserve">Date: _______________</w:t>
      </w:r>
    </w:p>
    <w:p>
      <w:pPr>
        <w:pStyle w:val="BodyText"/>
      </w:pPr>
      <w:r>
        <w:t xml:space="preserve">Al Noor Engineering Consultancy LLC — Trade License No. 1048293 — Dubai, United Arab Emirates</w:t>
      </w:r>
    </w:p>
    <w:p>
      <w:pPr>
        <w:pStyle w:val="BodyText"/>
      </w:pPr>
      <w:r>
        <w:t xml:space="preserve">This Quotation Estimate document is the property of Al Noor Engineering Consultancy LLC. Unauthorised reproduction or distribution is prohibited.</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United Arab Emirates Dubai</dc:title>
  <dc:creator/>
  <dc:language>en</dc:language>
  <cp:keywords/>
  <dcterms:created xsi:type="dcterms:W3CDTF">2026-10-10T03:21:00Z</dcterms:created>
  <dcterms:modified xsi:type="dcterms:W3CDTF">2026-10-10T03:21:00Z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